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SOBERANIA ALGORÍTMICA E GOVERNANÇA NA AMAZÔNIA AZUL: AUDITORIA FORENSE E A RUPTURA DA ESTACIONARIEDADE METOCEÂNICA</w:t>
      </w:r>
    </w:p>
    <w:p w:rsidR="00000000" w:rsidDel="00000000" w:rsidP="00000000" w:rsidRDefault="00000000" w:rsidRPr="00000000" w14:paraId="00000002">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Jorcelino Rinalde de Paulo</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4">
      <w:pPr>
        <w:pStyle w:val="Heading2"/>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INTRODUÇÃO</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consolidação dos Estudos Marítimos no Brasil, embora recente, revela-se um vetor crítico para a afirmação da soberania nacional no século XXI (Silva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2009). Historicamente, a construção do conceito de "Amazônia Azul" foi alicerçada em pilares eminentemente jurídicos, políticos e estratégicos, visando a legitimação do pleito brasileiro sobre a Plataforma Continental Estendida junto à Comissão de Limites da Organização das Nações Unidas (ONU). O Estado brasileiro, através de um extenso e coordenado esforço institucional, logrou êxito em expandir suas fronteiras jurisdicionais, fundamentando-se na Convenção das Nações Unidas sobre o Direito do Mar (CNUDM) e na legislação interna, como a Lei nº 8.617/1993 (Brasil, 1993). Contudo, ao adentrarmos a terceira década do século, emerge uma lacuna crítica na governança desse território: o descompasso entre a estaticidade dos marcos regulatórios e a dinamicidade física do oceano.</w:t>
      </w:r>
    </w:p>
    <w:p w:rsidR="00000000" w:rsidDel="00000000" w:rsidP="00000000" w:rsidRDefault="00000000" w:rsidRPr="00000000" w14:paraId="0000000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 a perspectiva da ciência geográfica, o território não é apenas uma delimitação geométrica, mas um espaço produzido e em constante mutação. A "Amazônia Azul" deixa de ser apenas um conceito jurídico-político para se tornar um espaço geográfico marítimo complexo, onde a interação entre a tecnosfera (infraestrutura </w:t>
      </w:r>
      <w:r w:rsidDel="00000000" w:rsidR="00000000" w:rsidRPr="00000000">
        <w:rPr>
          <w:rFonts w:ascii="Times New Roman" w:cs="Times New Roman" w:eastAsia="Times New Roman" w:hAnsi="Times New Roman"/>
          <w:i w:val="1"/>
          <w:iCs w:val="1"/>
          <w:sz w:val="24"/>
          <w:szCs w:val="24"/>
          <w:rtl w:val="0"/>
        </w:rPr>
        <w:t xml:space="preserve">offshore</w:t>
      </w:r>
      <w:r w:rsidDel="00000000" w:rsidR="00000000" w:rsidRPr="00000000">
        <w:rPr>
          <w:rFonts w:ascii="Times New Roman" w:cs="Times New Roman" w:eastAsia="Times New Roman" w:hAnsi="Times New Roman"/>
          <w:sz w:val="24"/>
          <w:szCs w:val="24"/>
          <w:rtl w:val="0"/>
        </w:rPr>
        <w:t xml:space="preserve">) e a psicosfera (intenções políticas e econômicas) é mediada por uma dinâmica oceanográfica de crescente complexidade. A governança tradicional dos espaços marítimos opera sob a lógica da cartografia fixa, onde fronteiras e recursos são plotados em mapas estáticos, que servem de base para concessões, licenciamentos e defesa. No entanto, a realidade oceanográfica é fluida, estocástica e, crescentemente, não-estacionária.</w:t>
      </w:r>
    </w:p>
    <w:p w:rsidR="00000000" w:rsidDel="00000000" w:rsidP="00000000" w:rsidRDefault="00000000" w:rsidRPr="00000000" w14:paraId="0000000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soberania contemporânea, portanto, não pode mais residir apenas na capacidade de patrulha naval ou na ocupação física de ilhas oceânicas; ela reside na capacidade intelectual e institucional do Estado de interpretar, com profundidade e autonomia, os dados que sustentam sua infraestrutura estratégica. Esta soberania cognitiva exige que o Estado compreenda a dialética entre os "fixos" (plataformas, portos e cabos submarinos) e os "fluxos" (dados, correntes e variáveis metoceânicas), conforme a proposição fundamental de Santos (1996). Vivemos a transição para uma era de "Governança Algorítmica", onde a Consciência Situacional Marítima (</w:t>
      </w:r>
      <w:r w:rsidDel="00000000" w:rsidR="00000000" w:rsidRPr="00000000">
        <w:rPr>
          <w:rFonts w:ascii="Times New Roman" w:cs="Times New Roman" w:eastAsia="Times New Roman" w:hAnsi="Times New Roman"/>
          <w:i w:val="1"/>
          <w:iCs w:val="1"/>
          <w:sz w:val="24"/>
          <w:szCs w:val="24"/>
          <w:rtl w:val="0"/>
        </w:rPr>
        <w:t xml:space="preserve">Maritime Domain Awareness</w:t>
      </w:r>
      <w:r w:rsidDel="00000000" w:rsidR="00000000" w:rsidRPr="00000000">
        <w:rPr>
          <w:rFonts w:ascii="Times New Roman" w:cs="Times New Roman" w:eastAsia="Times New Roman" w:hAnsi="Times New Roman"/>
          <w:sz w:val="24"/>
          <w:szCs w:val="24"/>
          <w:rtl w:val="0"/>
        </w:rPr>
        <w:t xml:space="preserve"> - MDA) transcende a vigilância de superfície, para abarcar a previsibilidade ambiental (Morgan, 2010).</w:t>
      </w:r>
    </w:p>
    <w:p w:rsidR="00000000" w:rsidDel="00000000" w:rsidP="00000000" w:rsidRDefault="00000000" w:rsidRPr="00000000" w14:paraId="0000000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falha em integrar a ciência de dados (</w:t>
      </w:r>
      <w:r w:rsidDel="00000000" w:rsidR="00000000" w:rsidRPr="00000000">
        <w:rPr>
          <w:rFonts w:ascii="Times New Roman" w:cs="Times New Roman" w:eastAsia="Times New Roman" w:hAnsi="Times New Roman"/>
          <w:i w:val="1"/>
          <w:iCs w:val="1"/>
          <w:sz w:val="24"/>
          <w:szCs w:val="24"/>
          <w:rtl w:val="0"/>
        </w:rPr>
        <w:t xml:space="preserve">hard science</w:t>
      </w:r>
      <w:r w:rsidDel="00000000" w:rsidR="00000000" w:rsidRPr="00000000">
        <w:rPr>
          <w:rFonts w:ascii="Times New Roman" w:cs="Times New Roman" w:eastAsia="Times New Roman" w:hAnsi="Times New Roman"/>
          <w:sz w:val="24"/>
          <w:szCs w:val="24"/>
          <w:rtl w:val="0"/>
        </w:rPr>
        <w:t xml:space="preserve">) às políticas públicas de defesa e gestão (</w:t>
      </w:r>
      <w:r w:rsidDel="00000000" w:rsidR="00000000" w:rsidRPr="00000000">
        <w:rPr>
          <w:rFonts w:ascii="Times New Roman" w:cs="Times New Roman" w:eastAsia="Times New Roman" w:hAnsi="Times New Roman"/>
          <w:i w:val="1"/>
          <w:iCs w:val="1"/>
          <w:sz w:val="24"/>
          <w:szCs w:val="24"/>
          <w:rtl w:val="0"/>
        </w:rPr>
        <w:t xml:space="preserve">soft power</w:t>
      </w:r>
      <w:r w:rsidDel="00000000" w:rsidR="00000000" w:rsidRPr="00000000">
        <w:rPr>
          <w:rFonts w:ascii="Times New Roman" w:cs="Times New Roman" w:eastAsia="Times New Roman" w:hAnsi="Times New Roman"/>
          <w:sz w:val="24"/>
          <w:szCs w:val="24"/>
          <w:rtl w:val="0"/>
        </w:rPr>
        <w:t xml:space="preserve">) cria uma vulnerabilidade sistêmica. Se o Estado não detém a governança sobre a "história estatística" de seu mar, delegando essa inteligência a modelos globais ou entes privados sem a devida auditoria, ele abdica, na prática, da capacidade de gerir riscos e garantir a segurança jurídica dos investimentos na Zona Econômica Exclusiva (ZEE). Este capítulo postula que o amadurecimento do Poder Marítimo brasileiro e a efetividade da Economia Azul dependem de uma ruptura epistemológica na governança: a transição de um modelo reativo, baseado em médias históricas obsoletas, para um modelo de auditoria contínua de premissas. A tese central aqui defendida é que a não-estacionariedade dos oceanos (a mudança nos padrões de ondas, ventos e correntes) não é apenas um problema de engenharia, mas um desafio de governança de alto nível, com implicações diretas na responsabilidade civil do Estado e na manutenção da soberania informacional.</w:t>
      </w:r>
    </w:p>
    <w:p w:rsidR="00000000" w:rsidDel="00000000" w:rsidP="00000000" w:rsidRDefault="00000000" w:rsidRPr="00000000" w14:paraId="0000000A">
      <w:pPr>
        <w:pStyle w:val="Heading2"/>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B">
      <w:pPr>
        <w:pStyle w:val="Heading2"/>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 - O CASAMENTO NECESSÁRIO: CIÊNCIA </w:t>
      </w:r>
      <w:r w:rsidDel="00000000" w:rsidR="00000000" w:rsidRPr="00000000">
        <w:rPr>
          <w:rFonts w:ascii="Times New Roman" w:cs="Times New Roman" w:eastAsia="Times New Roman" w:hAnsi="Times New Roman"/>
          <w:i w:val="1"/>
          <w:iCs w:val="1"/>
          <w:color w:val="000000"/>
          <w:sz w:val="24"/>
          <w:szCs w:val="24"/>
          <w:rtl w:val="0"/>
        </w:rPr>
        <w:t xml:space="preserve">HARD </w:t>
      </w:r>
      <w:r w:rsidDel="00000000" w:rsidR="00000000" w:rsidRPr="00000000">
        <w:rPr>
          <w:rFonts w:ascii="Times New Roman" w:cs="Times New Roman" w:eastAsia="Times New Roman" w:hAnsi="Times New Roman"/>
          <w:color w:val="000000"/>
          <w:sz w:val="24"/>
          <w:szCs w:val="24"/>
          <w:rtl w:val="0"/>
        </w:rPr>
        <w:t xml:space="preserve">E CIÊNCIA </w:t>
      </w:r>
      <w:r w:rsidDel="00000000" w:rsidR="00000000" w:rsidRPr="00000000">
        <w:rPr>
          <w:rFonts w:ascii="Times New Roman" w:cs="Times New Roman" w:eastAsia="Times New Roman" w:hAnsi="Times New Roman"/>
          <w:i w:val="1"/>
          <w:iCs w:val="1"/>
          <w:color w:val="000000"/>
          <w:sz w:val="24"/>
          <w:szCs w:val="24"/>
          <w:rtl w:val="0"/>
        </w:rPr>
        <w:t xml:space="preserve">SOFT </w:t>
      </w:r>
      <w:r w:rsidDel="00000000" w:rsidR="00000000" w:rsidRPr="00000000">
        <w:rPr>
          <w:rFonts w:ascii="Times New Roman" w:cs="Times New Roman" w:eastAsia="Times New Roman" w:hAnsi="Times New Roman"/>
          <w:color w:val="000000"/>
          <w:sz w:val="24"/>
          <w:szCs w:val="24"/>
          <w:rtl w:val="0"/>
        </w:rPr>
        <w:t xml:space="preserve">NA ESTRUTURA DE ESTADO</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dicotomia entre as ciências exatas e as ciências sociais aplicadas tem gerado, no contexto da gestão costeira e oceânica, um "hiato de inteligência" que compromete a eficácia das políticas públicas. A compreensão do mar brasileiro não pode ser fragmentada em silos burocráticos, onde oceanógrafos produzem dados que juristas e gestores públicos não sabem interpretar ou questionar. Para uma governança robusta, é imperativo estabelecer um elo metodológico entre o rigor estocástico da oceanografia física e a complexidade das Relações Internacionais e do Direito do Mar.</w:t>
      </w:r>
    </w:p>
    <w:p w:rsidR="00000000" w:rsidDel="00000000" w:rsidP="00000000" w:rsidRDefault="00000000" w:rsidRPr="00000000" w14:paraId="0000000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Geografia do Mar, esta integração é chamada de análise multiescalar do território. O dado físico colhido na Bacia de Campos possui escala local, mas sua interpretação estatística alimenta decisões de escala nacional e global. Se a governança não for capaz de "traduzir" o dado técnico em decisão estratégica, o Estado permanece cego perante a sua própria geografia. A governança oceânica exige, portanto, uma transdisciplinaridade que seja capaz de tratar o dado como um fato geográfico é também uma evidência jurídica.</w:t>
      </w:r>
    </w:p>
    <w:p w:rsidR="00000000" w:rsidDel="00000000" w:rsidP="00000000" w:rsidRDefault="00000000" w:rsidRPr="00000000" w14:paraId="0000000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cenário de disputas globais por recursos e influência, a posse de dados metoceânicos auditados (séries temporais de ondas, ventos, correntes e parâmetros físico-químicos) transcende a dimensão técnica para se configurar como um ativo estratégico de soberania. A "Soberania de Dados" (</w:t>
      </w:r>
      <w:r w:rsidDel="00000000" w:rsidR="00000000" w:rsidRPr="00000000">
        <w:rPr>
          <w:rFonts w:ascii="Times New Roman" w:cs="Times New Roman" w:eastAsia="Times New Roman" w:hAnsi="Times New Roman"/>
          <w:i w:val="1"/>
          <w:iCs w:val="1"/>
          <w:sz w:val="24"/>
          <w:szCs w:val="24"/>
          <w:rtl w:val="0"/>
        </w:rPr>
        <w:t xml:space="preserve">Data Sovereignty</w:t>
      </w:r>
      <w:r w:rsidDel="00000000" w:rsidR="00000000" w:rsidRPr="00000000">
        <w:rPr>
          <w:rFonts w:ascii="Times New Roman" w:cs="Times New Roman" w:eastAsia="Times New Roman" w:hAnsi="Times New Roman"/>
          <w:sz w:val="24"/>
          <w:szCs w:val="24"/>
          <w:rtl w:val="0"/>
        </w:rPr>
        <w:t xml:space="preserve">) refere-se à capacidade de uma nação de exercer controle sobre as informações geradas dentro de seu território e sobre a infraestrutura necessária para processá-las (Couture e Toupin, 2019).</w:t>
      </w:r>
    </w:p>
    <w:p w:rsidR="00000000" w:rsidDel="00000000" w:rsidP="00000000" w:rsidRDefault="00000000" w:rsidRPr="00000000" w14:paraId="0000001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conceito expande-se para a ideia de territorialidade digital. O mar brasileiro não é apenas o que está delimitado pela Convenção de 1982, mas também o que está modelado nos nossos servidores e algoritmos de previsão (Kitchin, 2014). Na ausência de uma capacidade nacional robusta de coleta e, crucialmente, de auditoria desses dados, o Brasil torna-se dependente de reanálises climáticas globais fornecidas por agências estrangeiras,  como o </w:t>
      </w:r>
      <w:r w:rsidDel="00000000" w:rsidR="00000000" w:rsidRPr="00000000">
        <w:rPr>
          <w:rFonts w:ascii="Times New Roman" w:cs="Times New Roman" w:eastAsia="Times New Roman" w:hAnsi="Times New Roman"/>
          <w:i w:val="1"/>
          <w:iCs w:val="1"/>
          <w:sz w:val="24"/>
          <w:szCs w:val="24"/>
          <w:rtl w:val="0"/>
        </w:rPr>
        <w:t xml:space="preserve">National Centers for Environmental Prediction</w:t>
      </w:r>
      <w:r w:rsidDel="00000000" w:rsidR="00000000" w:rsidRPr="00000000">
        <w:rPr>
          <w:rFonts w:ascii="Times New Roman" w:cs="Times New Roman" w:eastAsia="Times New Roman" w:hAnsi="Times New Roman"/>
          <w:sz w:val="24"/>
          <w:szCs w:val="24"/>
          <w:rtl w:val="0"/>
        </w:rPr>
        <w:t xml:space="preserve"> (NCEP) dos Estados Unidos da América (EUA) ou </w:t>
      </w:r>
      <w:r w:rsidDel="00000000" w:rsidR="00000000" w:rsidRPr="00000000">
        <w:rPr>
          <w:rFonts w:ascii="Times New Roman" w:cs="Times New Roman" w:eastAsia="Times New Roman" w:hAnsi="Times New Roman"/>
          <w:i w:val="1"/>
          <w:iCs w:val="1"/>
          <w:sz w:val="24"/>
          <w:szCs w:val="24"/>
          <w:rtl w:val="0"/>
        </w:rPr>
        <w:t xml:space="preserve">European Centre for Medium-Range Weather Forecasts</w:t>
      </w:r>
      <w:r w:rsidDel="00000000" w:rsidR="00000000" w:rsidRPr="00000000">
        <w:rPr>
          <w:rFonts w:ascii="Times New Roman" w:cs="Times New Roman" w:eastAsia="Times New Roman" w:hAnsi="Times New Roman"/>
          <w:sz w:val="24"/>
          <w:szCs w:val="24"/>
          <w:rtl w:val="0"/>
        </w:rPr>
        <w:t xml:space="preserve"> (ECMWF) europeu. Embora tecnicamente excelentes, esses modelos globais possuem vieses e limitações de resolução que, se não corrigidos por validação local (</w:t>
      </w:r>
      <w:r w:rsidDel="00000000" w:rsidR="00000000" w:rsidRPr="00000000">
        <w:rPr>
          <w:rFonts w:ascii="Times New Roman" w:cs="Times New Roman" w:eastAsia="Times New Roman" w:hAnsi="Times New Roman"/>
          <w:i w:val="1"/>
          <w:iCs w:val="1"/>
          <w:sz w:val="24"/>
          <w:szCs w:val="24"/>
          <w:rtl w:val="0"/>
        </w:rPr>
        <w:t xml:space="preserve">downscaling </w:t>
      </w:r>
      <w:r w:rsidDel="00000000" w:rsidR="00000000" w:rsidRPr="00000000">
        <w:rPr>
          <w:rFonts w:ascii="Times New Roman" w:cs="Times New Roman" w:eastAsia="Times New Roman" w:hAnsi="Times New Roman"/>
          <w:sz w:val="24"/>
          <w:szCs w:val="24"/>
          <w:rtl w:val="0"/>
        </w:rPr>
        <w:t xml:space="preserve">auditado), impõem uma visão externa sobre a realidade oceanográfica brasileira.</w:t>
      </w:r>
    </w:p>
    <w:p w:rsidR="00000000" w:rsidDel="00000000" w:rsidP="00000000" w:rsidRDefault="00000000" w:rsidRPr="00000000" w14:paraId="0000001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Aceitar passivamente bases de dados globais para definir políticas de concessão de exploração de petróleo ou parques eólicos é, em última análise, um ato de submissão tecnopolítica. Trata-se de uma forma contemporânea de colonialismo de dados, onde a interpretação da nossa natureza é terceirizada para centros de poder do Norte Global. Como ressaltam pesquisadores da área de arquivos e soberania (Setiawan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2024), "os arquivos dentro do conceito de MDA emergem como um meio alternativo de identificar atores e documentar a prova da soberania territorial estatal". Portanto, o dado metoceânico auditado é a prova material da ocupação e do entendimento do Estado sobre sua jurisdição. Sem a auditoria, o dado é apenas uma narrativa estrangeira sobre o nosso espaço.</w:t>
      </w:r>
    </w:p>
    <w:p w:rsidR="00000000" w:rsidDel="00000000" w:rsidP="00000000" w:rsidRDefault="00000000" w:rsidRPr="00000000" w14:paraId="0000001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Brasil avança na implementação do seu Planejamento Espacial Marinho (PEM), instrumento central de governança destinado a ordenar o uso do espaço marinho, mitigar conflitos entre setores (pesca, petróleo, eólica, navegação e defesa) e garantir a sustentabilidade (Comissão Interministerial para os Recursos do Mar, 2024). Entretanto, a eficácia jurídica do PEM repousa na veracidade das premissas ambientais que o fundamentam. O PEM é, por definição, uma ferramenta de Gestão Territorial, e qualquer gestão territorial baseada em mapas ou premissas físicas errôneas, ou pouco confiáveis, está fadada ao fracasso institucional.</w:t>
      </w:r>
    </w:p>
    <w:p w:rsidR="00000000" w:rsidDel="00000000" w:rsidP="00000000" w:rsidRDefault="00000000" w:rsidRPr="00000000" w14:paraId="0000001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 a ótica da Governança e do </w:t>
      </w:r>
      <w:r w:rsidDel="00000000" w:rsidR="00000000" w:rsidRPr="00000000">
        <w:rPr>
          <w:rFonts w:ascii="Times New Roman" w:cs="Times New Roman" w:eastAsia="Times New Roman" w:hAnsi="Times New Roman"/>
          <w:i w:val="1"/>
          <w:iCs w:val="1"/>
          <w:sz w:val="24"/>
          <w:szCs w:val="24"/>
          <w:rtl w:val="0"/>
        </w:rPr>
        <w:t xml:space="preserve">Compliance</w:t>
      </w:r>
      <w:r w:rsidDel="00000000" w:rsidR="00000000" w:rsidRPr="00000000">
        <w:rPr>
          <w:rFonts w:ascii="Times New Roman" w:cs="Times New Roman" w:eastAsia="Times New Roman" w:hAnsi="Times New Roman"/>
          <w:sz w:val="24"/>
          <w:szCs w:val="24"/>
          <w:rtl w:val="0"/>
        </w:rPr>
        <w:t xml:space="preserve">, a utilização de dados desatualizados ou não auditados para fundamentar licitações e contratos de longo prazo introduz um risco latente de litigância e responsabilização do Estado. Se a Administração Pública concede uma área para exploração eólica baseada em um "atlas eólico" fundamentado em médias históricas que não mais se verificam na realidade (devido à deriva metoceânica), ela falha em seu dever de </w:t>
      </w:r>
      <w:r w:rsidDel="00000000" w:rsidR="00000000" w:rsidRPr="00000000">
        <w:rPr>
          <w:rFonts w:ascii="Times New Roman" w:cs="Times New Roman" w:eastAsia="Times New Roman" w:hAnsi="Times New Roman"/>
          <w:i w:val="1"/>
          <w:iCs w:val="1"/>
          <w:sz w:val="24"/>
          <w:szCs w:val="24"/>
          <w:rtl w:val="0"/>
        </w:rPr>
        <w:t xml:space="preserve">due diligence</w:t>
      </w:r>
      <w:r w:rsidDel="00000000" w:rsidR="00000000" w:rsidRPr="00000000">
        <w:rPr>
          <w:rFonts w:ascii="Times New Roman" w:cs="Times New Roman" w:eastAsia="Times New Roman" w:hAnsi="Times New Roman"/>
          <w:sz w:val="24"/>
          <w:szCs w:val="24"/>
          <w:rtl w:val="0"/>
        </w:rPr>
        <w:t xml:space="preserve"> (diligência devida). Isso cria o que denominamos "Risco de Obsolescência Paramétrica", que é o descolamento entre a realidade física do mar e as cláusulas contratuais da concessão.</w:t>
      </w:r>
    </w:p>
    <w:p w:rsidR="00000000" w:rsidDel="00000000" w:rsidP="00000000" w:rsidRDefault="00000000" w:rsidRPr="00000000" w14:paraId="0000001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uma perspectiva de governança de riscos, a não-estacionariedade transforma o investimento em infraestrutura em um passivo contingente para o Estado. A falha de uma estrutura </w:t>
      </w:r>
      <w:r w:rsidDel="00000000" w:rsidR="00000000" w:rsidRPr="00000000">
        <w:rPr>
          <w:rFonts w:ascii="Times New Roman" w:cs="Times New Roman" w:eastAsia="Times New Roman" w:hAnsi="Times New Roman"/>
          <w:i w:val="1"/>
          <w:iCs w:val="1"/>
          <w:sz w:val="24"/>
          <w:szCs w:val="24"/>
          <w:rtl w:val="0"/>
        </w:rPr>
        <w:t xml:space="preserve">offshore </w:t>
      </w:r>
      <w:r w:rsidDel="00000000" w:rsidR="00000000" w:rsidRPr="00000000">
        <w:rPr>
          <w:rFonts w:ascii="Times New Roman" w:cs="Times New Roman" w:eastAsia="Times New Roman" w:hAnsi="Times New Roman"/>
          <w:sz w:val="24"/>
          <w:szCs w:val="24"/>
          <w:rtl w:val="0"/>
        </w:rPr>
        <w:t xml:space="preserve">devido a eventos extremos que "não estavam no contrato" pode levar a pedidos de reequilíbrio econômico-financeiro bilionários contra a União. A segurança jurídica, pilar de qualquer ambiente de negócios estáveis, exige que as decisões estatais sejam amparadas pela "verdade material" dos fatos geográficos. Gandra (2021) adverte que, no Brasil, "os dados marinhos se encontram dispersos, de difícil acesso e baixa padronização", fragilizando a tomada de decisão.</w:t>
      </w:r>
    </w:p>
    <w:p w:rsidR="00000000" w:rsidDel="00000000" w:rsidP="00000000" w:rsidRDefault="00000000" w:rsidRPr="00000000" w14:paraId="0000001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governança moderna exige que o Estado deixe de ser um mero consumidor de estatísticas prontas para se tornar o auditor das premissas que regem o desenvolvimento nacional. Isso implica na criação de um </w:t>
      </w:r>
      <w:r w:rsidDel="00000000" w:rsidR="00000000" w:rsidRPr="00000000">
        <w:rPr>
          <w:rFonts w:ascii="Times New Roman" w:cs="Times New Roman" w:eastAsia="Times New Roman" w:hAnsi="Times New Roman"/>
          <w:i w:val="1"/>
          <w:iCs w:val="1"/>
          <w:sz w:val="24"/>
          <w:szCs w:val="24"/>
          <w:rtl w:val="0"/>
        </w:rPr>
        <w:t xml:space="preserve">Compliance </w:t>
      </w:r>
      <w:r w:rsidDel="00000000" w:rsidR="00000000" w:rsidRPr="00000000">
        <w:rPr>
          <w:rFonts w:ascii="Times New Roman" w:cs="Times New Roman" w:eastAsia="Times New Roman" w:hAnsi="Times New Roman"/>
          <w:sz w:val="24"/>
          <w:szCs w:val="24"/>
          <w:rtl w:val="0"/>
        </w:rPr>
        <w:t xml:space="preserve">Territorial Marítimo, blindando a administração contra litígios internacionais e garantindo que a "</w:t>
      </w:r>
      <w:r w:rsidDel="00000000" w:rsidR="00000000" w:rsidRPr="00000000">
        <w:rPr>
          <w:rFonts w:ascii="Times New Roman" w:cs="Times New Roman" w:eastAsia="Times New Roman" w:hAnsi="Times New Roman"/>
          <w:i w:val="1"/>
          <w:iCs w:val="1"/>
          <w:sz w:val="24"/>
          <w:szCs w:val="24"/>
          <w:rtl w:val="0"/>
        </w:rPr>
        <w:t xml:space="preserve">Blue Economy</w:t>
      </w:r>
      <w:r w:rsidDel="00000000" w:rsidR="00000000" w:rsidRPr="00000000">
        <w:rPr>
          <w:rFonts w:ascii="Times New Roman" w:cs="Times New Roman" w:eastAsia="Times New Roman" w:hAnsi="Times New Roman"/>
          <w:sz w:val="24"/>
          <w:szCs w:val="24"/>
          <w:rtl w:val="0"/>
        </w:rPr>
        <w:t xml:space="preserve">" não se torne uma bolha especulativa baseada em dados fantasmas. A governança do futuro não pergunta apenas "quem tem o direito", mas "quem tem o dado auditado" que prova a viabilidade desse direito no tempo e no espaço.</w:t>
      </w:r>
    </w:p>
    <w:p w:rsidR="00000000" w:rsidDel="00000000" w:rsidP="00000000" w:rsidRDefault="00000000" w:rsidRPr="00000000" w14:paraId="00000016">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pStyle w:val="Heading2"/>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II - A QUEDA DO ESPELHO: O ESGOTAMENTO DA HIPÓTESE DE ESTACIONARIEDADE E O RISCO SISTÊMICO</w:t>
      </w:r>
    </w:p>
    <w:p w:rsidR="00000000" w:rsidDel="00000000" w:rsidP="00000000" w:rsidRDefault="00000000" w:rsidRPr="00000000" w14:paraId="00000018">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Durante décadas, a engenharia costeira, a regulação portuária e o planejamento da indústria de óleo e gás operaram sob a égide de um paradigma estatístico tácito: a Hipótese de Estacionariedade. Esta premissa assume que as propriedades estatísticas das variáveis oceanográficas, como a altura média das ondas, o período de pico ou a intensidade dos ventos extremos, oscilam dentro de um envelope de variabilidade fixo e invariável ao longo do tempo. Em termos de governança, isso equivalia a postular que o passado seria uma projeção fidedigna do futuro, permitindo que o planejamento de longo prazo fosse uma mera extrapolação linear de séries históricas.</w:t>
      </w:r>
    </w:p>
    <w:p w:rsidR="00000000" w:rsidDel="00000000" w:rsidP="00000000" w:rsidRDefault="00000000" w:rsidRPr="00000000" w14:paraId="0000001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 a ótica da Geografia Física Contemporânea, essa visão reflete um determinismo geográfico obsoleto, que ignora o oceano como um "espaço de fluxos" em constante mutação termodinâmica. A estacionariedade fundamentou a criação de normas técnicas e critérios de projeto que hoje se revelam geograficamente deslocados da realidade do antropoceno. Contudo, a literatura científica de alto nível declarou o óbito definitivo dessa premissa. No artigo seminal "</w:t>
      </w:r>
      <w:r w:rsidDel="00000000" w:rsidR="00000000" w:rsidRPr="00000000">
        <w:rPr>
          <w:rFonts w:ascii="Times New Roman" w:cs="Times New Roman" w:eastAsia="Times New Roman" w:hAnsi="Times New Roman"/>
          <w:i w:val="1"/>
          <w:iCs w:val="1"/>
          <w:sz w:val="24"/>
          <w:szCs w:val="24"/>
          <w:rtl w:val="0"/>
        </w:rPr>
        <w:t xml:space="preserve">Stationarity is Dead: Whither Water Management?</w:t>
      </w:r>
      <w:r w:rsidDel="00000000" w:rsidR="00000000" w:rsidRPr="00000000">
        <w:rPr>
          <w:rFonts w:ascii="Times New Roman" w:cs="Times New Roman" w:eastAsia="Times New Roman" w:hAnsi="Times New Roman"/>
          <w:sz w:val="24"/>
          <w:szCs w:val="24"/>
          <w:rtl w:val="0"/>
        </w:rPr>
        <w:t xml:space="preserve">", publicado na revista Science, Milly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(2008) alertaram que a estacionariedade não pode mais servir como premissa central para o planejamento de recursos hídricos e, por extensão, para a gestão oceânica e costeira.</w:t>
      </w:r>
    </w:p>
    <w:p w:rsidR="00000000" w:rsidDel="00000000" w:rsidP="00000000" w:rsidRDefault="00000000" w:rsidRPr="00000000" w14:paraId="0000001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ignorar essa ruptura de paradigma, o Estado brasileiro incorpora em seus projetos de infraestrutura crítica, portos estrategicamente localizados, plataformas de exploração em águas ultraprofundas e emissários submarinos, um vício de concepção sistêmico. A governança baseada em um modelo preditivo invalidado não produz segurança; produz a ilusão de controle sobre um território cujas variáveis fundamentais estão em deriva acelerada.</w:t>
      </w:r>
    </w:p>
    <w:p w:rsidR="00000000" w:rsidDel="00000000" w:rsidP="00000000" w:rsidRDefault="00000000" w:rsidRPr="00000000" w14:paraId="0000001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a realidade física do mar descola-se das bases de dados históricas utilizadas no licenciamento ambiental e no ordenamento territorial, entramos em um estado crítico de "Obsolescência Paramétrica". Sob a ótica da gestão pública e da governança corporativa, esse fenômeno transmuta-se em um passivo oculto de proporções continentais. Uma plataforma de petróleo ou um quebra-mar projetado com dados da década de 1990 pode, em 2026, estar operando fora de sua janela de segurança operacional real. Tal vulnerabilidade não decorre de uma falha de engenharia </w:t>
      </w:r>
      <w:r w:rsidDel="00000000" w:rsidR="00000000" w:rsidRPr="00000000">
        <w:rPr>
          <w:rFonts w:ascii="Times New Roman" w:cs="Times New Roman" w:eastAsia="Times New Roman" w:hAnsi="Times New Roman"/>
          <w:i w:val="1"/>
          <w:iCs w:val="1"/>
          <w:sz w:val="24"/>
          <w:szCs w:val="24"/>
          <w:rtl w:val="0"/>
        </w:rPr>
        <w:t xml:space="preserve">stricto sensu</w:t>
      </w:r>
      <w:r w:rsidDel="00000000" w:rsidR="00000000" w:rsidRPr="00000000">
        <w:rPr>
          <w:rFonts w:ascii="Times New Roman" w:cs="Times New Roman" w:eastAsia="Times New Roman" w:hAnsi="Times New Roman"/>
          <w:sz w:val="24"/>
          <w:szCs w:val="24"/>
          <w:rtl w:val="0"/>
        </w:rPr>
        <w:t xml:space="preserve">, mas de uma falha de premissa ontológica sobre o comportamento do meio físico.</w:t>
      </w:r>
    </w:p>
    <w:p w:rsidR="00000000" w:rsidDel="00000000" w:rsidP="00000000" w:rsidRDefault="00000000" w:rsidRPr="00000000" w14:paraId="0000001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obsolescência gera o que a Geografia Política denomina de "Fricção Temporal": o conflito entre o tempo administrativo (os prazos de concessão e as normas legais estáticas) e o tempo geográfico (a aceleração dos processos oceânicos sob forçantes climáticas). O Painel Intergovernamental sobre Mudanças Climáticas (IPCC), em seu Sexto Relatório de Avaliação (AR6), reforça que eventos extremos no nível do mar que outrora ocorriam uma vez por século poderão ocorrer anualmente em diversas regiões costeiras até 2100 (IPCC, 2021).</w:t>
      </w:r>
    </w:p>
    <w:p w:rsidR="00000000" w:rsidDel="00000000" w:rsidP="00000000" w:rsidRDefault="00000000" w:rsidRPr="00000000" w14:paraId="0000001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a governança da Amazônia Azul, essa constatação implica que a "memória estatística" do século XX tornou-se um mapa obsoleto para um território que não mais existe em sua configuração física original. Portanto, insistir no uso de séries históricas brutas sem a devida correção não-estacionária viola frontalmente o Princípio da Precaução, pilar constitucional do Direito Ambiental Brasileiro, além de expor a União e os entes privados a responsabilidades civis objetivas e danos reputacionais em caso de desastres operacionais. A manutenção da invisibilidade desse risco paramétrico constitui uma falha grave de </w:t>
      </w:r>
      <w:r w:rsidDel="00000000" w:rsidR="00000000" w:rsidRPr="00000000">
        <w:rPr>
          <w:rFonts w:ascii="Times New Roman" w:cs="Times New Roman" w:eastAsia="Times New Roman" w:hAnsi="Times New Roman"/>
          <w:i w:val="1"/>
          <w:iCs w:val="1"/>
          <w:sz w:val="24"/>
          <w:szCs w:val="24"/>
          <w:rtl w:val="0"/>
        </w:rPr>
        <w:t xml:space="preserve">accountability </w:t>
      </w:r>
      <w:r w:rsidDel="00000000" w:rsidR="00000000" w:rsidRPr="00000000">
        <w:rPr>
          <w:rFonts w:ascii="Times New Roman" w:cs="Times New Roman" w:eastAsia="Times New Roman" w:hAnsi="Times New Roman"/>
          <w:sz w:val="24"/>
          <w:szCs w:val="24"/>
          <w:rtl w:val="0"/>
        </w:rPr>
        <w:t xml:space="preserve">institucional (Salomon e Markus, 2020).</w:t>
      </w:r>
    </w:p>
    <w:p w:rsidR="00000000" w:rsidDel="00000000" w:rsidP="00000000" w:rsidRDefault="00000000" w:rsidRPr="00000000" w14:paraId="0000001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manutenção da estacionariedade como política implícita de Estado transcende o erro técnico; configura-se como uma imprudência fiscal e um risco à soberania econômica. Ao conceder licenças e homologar projetos baseados em cenários estatísticos "otimistas" e estacionários, o regulador subestima drasticamente o </w:t>
      </w:r>
      <w:r w:rsidDel="00000000" w:rsidR="00000000" w:rsidRPr="00000000">
        <w:rPr>
          <w:rFonts w:ascii="Times New Roman" w:cs="Times New Roman" w:eastAsia="Times New Roman" w:hAnsi="Times New Roman"/>
          <w:i w:val="1"/>
          <w:iCs w:val="1"/>
          <w:sz w:val="24"/>
          <w:szCs w:val="24"/>
          <w:rtl w:val="0"/>
        </w:rPr>
        <w:t xml:space="preserve">Capital Expenditure </w:t>
      </w:r>
      <w:r w:rsidDel="00000000" w:rsidR="00000000" w:rsidRPr="00000000">
        <w:rPr>
          <w:rFonts w:ascii="Times New Roman" w:cs="Times New Roman" w:eastAsia="Times New Roman" w:hAnsi="Times New Roman"/>
          <w:sz w:val="24"/>
          <w:szCs w:val="24"/>
          <w:rtl w:val="0"/>
        </w:rPr>
        <w:t xml:space="preserve">(CAPEX) necessário para a resiliência real e o </w:t>
      </w:r>
      <w:r w:rsidDel="00000000" w:rsidR="00000000" w:rsidRPr="00000000">
        <w:rPr>
          <w:rFonts w:ascii="Times New Roman" w:cs="Times New Roman" w:eastAsia="Times New Roman" w:hAnsi="Times New Roman"/>
          <w:i w:val="1"/>
          <w:iCs w:val="1"/>
          <w:sz w:val="24"/>
          <w:szCs w:val="24"/>
          <w:rtl w:val="0"/>
        </w:rPr>
        <w:t xml:space="preserve">Operational Expenditure</w:t>
      </w:r>
      <w:r w:rsidDel="00000000" w:rsidR="00000000" w:rsidRPr="00000000">
        <w:rPr>
          <w:rFonts w:ascii="Times New Roman" w:cs="Times New Roman" w:eastAsia="Times New Roman" w:hAnsi="Times New Roman"/>
          <w:sz w:val="24"/>
          <w:szCs w:val="24"/>
          <w:rtl w:val="0"/>
        </w:rPr>
        <w:t xml:space="preserve"> (OPEX) para a manutenção da integridade estrutural em um mar mais severo.</w:t>
      </w:r>
    </w:p>
    <w:p w:rsidR="00000000" w:rsidDel="00000000" w:rsidP="00000000" w:rsidRDefault="00000000" w:rsidRPr="00000000" w14:paraId="0000002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distorção de governança resulta inevitavelmente em: </w:t>
      </w:r>
    </w:p>
    <w:p w:rsidR="00000000" w:rsidDel="00000000" w:rsidP="00000000" w:rsidRDefault="00000000" w:rsidRPr="00000000" w14:paraId="00000021">
      <w:pPr>
        <w:numPr>
          <w:ilvl w:val="0"/>
          <w:numId w:val="1"/>
        </w:numPr>
        <w:spacing w:after="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Aditivos contratuais sucessivos: pela necessidade de reforços estruturais não previstos originalmente devido ao erro de premissa ambiental;</w:t>
      </w:r>
    </w:p>
    <w:p w:rsidR="00000000" w:rsidDel="00000000" w:rsidP="00000000" w:rsidRDefault="00000000" w:rsidRPr="00000000" w14:paraId="00000022">
      <w:pPr>
        <w:numPr>
          <w:ilvl w:val="0"/>
          <w:numId w:val="1"/>
        </w:numPr>
        <w:spacing w:after="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Judicialização de obras públicas: mediantes conflitos entre o Estado e concessionários sobre quem assume o custo da "surpresa estatística"; e</w:t>
      </w:r>
    </w:p>
    <w:p w:rsidR="00000000" w:rsidDel="00000000" w:rsidP="00000000" w:rsidRDefault="00000000" w:rsidRPr="00000000" w14:paraId="00000023">
      <w:pPr>
        <w:numPr>
          <w:ilvl w:val="0"/>
          <w:numId w:val="1"/>
        </w:numPr>
        <w:spacing w:after="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Fragilidade institucional: causada pela perda de confiança dos mercados de seguros e resseguros na viabilidade de longo prazo da infraestrutura offshore brasileira.</w:t>
      </w:r>
    </w:p>
    <w:p w:rsidR="00000000" w:rsidDel="00000000" w:rsidP="00000000" w:rsidRDefault="00000000" w:rsidRPr="00000000" w14:paraId="0000002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governança moderna e a ciência geográfica aplicada exigem, portanto, a transição imediata para modelos de "Gestão Adaptativa do Território Marítimo". Nesse modelo, as premissas de projeto não são parâmetros estáticos imutáveis, mas variáveis sob auditoria periódica. Assim, a engenharia </w:t>
      </w:r>
      <w:r w:rsidDel="00000000" w:rsidR="00000000" w:rsidRPr="00000000">
        <w:rPr>
          <w:rFonts w:ascii="Times New Roman" w:cs="Times New Roman" w:eastAsia="Times New Roman" w:hAnsi="Times New Roman"/>
          <w:i w:val="1"/>
          <w:iCs w:val="1"/>
          <w:sz w:val="24"/>
          <w:szCs w:val="24"/>
          <w:rtl w:val="0"/>
        </w:rPr>
        <w:t xml:space="preserve">offshore </w:t>
      </w:r>
      <w:r w:rsidDel="00000000" w:rsidR="00000000" w:rsidRPr="00000000">
        <w:rPr>
          <w:rFonts w:ascii="Times New Roman" w:cs="Times New Roman" w:eastAsia="Times New Roman" w:hAnsi="Times New Roman"/>
          <w:sz w:val="24"/>
          <w:szCs w:val="24"/>
          <w:rtl w:val="0"/>
        </w:rPr>
        <w:t xml:space="preserve">deve, obrigatoriamente, dialogar com a ciência atuarial, pois o mar deve ser tratado como um risco financeiro dinâmico, e não como uma constante geográfica passiva.</w:t>
      </w:r>
    </w:p>
    <w:p w:rsidR="00000000" w:rsidDel="00000000" w:rsidP="00000000" w:rsidRDefault="00000000" w:rsidRPr="00000000" w14:paraId="0000002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inação diante da deriva estatística do oceano compromete a função social da Amazônia Azul como motor do desenvolvimento sustentável. Uma governança resiliente requer que o dado metoceânico seja elevado ao status de patrimônio estratégico sob auditoria forense, garantindo que o planejamento territorial brasileiro guarde aderência estrita com a verdade material contida na dinâmica do Atlântico Sul.</w:t>
      </w:r>
    </w:p>
    <w:p w:rsidR="00000000" w:rsidDel="00000000" w:rsidP="00000000" w:rsidRDefault="00000000" w:rsidRPr="00000000" w14:paraId="00000026">
      <w:pPr>
        <w:pStyle w:val="Heading2"/>
        <w:spacing w:line="360" w:lineRule="auto"/>
        <w:jc w:val="both"/>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III - ESTATÍSTICA FORENSE: O DADO COMO EVIDÊNCIA DE SOBERANIA E INSTRUMENTO DE </w:t>
      </w:r>
      <w:r w:rsidDel="00000000" w:rsidR="00000000" w:rsidRPr="00000000">
        <w:rPr>
          <w:rFonts w:ascii="Times New Roman" w:cs="Times New Roman" w:eastAsia="Times New Roman" w:hAnsi="Times New Roman"/>
          <w:i w:val="1"/>
          <w:iCs w:val="1"/>
          <w:color w:val="000000"/>
          <w:sz w:val="24"/>
          <w:szCs w:val="24"/>
          <w:rtl w:val="0"/>
        </w:rPr>
        <w:t xml:space="preserve">COMPLIANCE</w:t>
      </w:r>
    </w:p>
    <w:p w:rsidR="00000000" w:rsidDel="00000000" w:rsidP="00000000" w:rsidRDefault="00000000" w:rsidRPr="00000000" w14:paraId="0000002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da invalidade da premissa de estacionariedade, a simples coleta de dados oceanográficos torna-se insuficiente e, sob a ótica da gestão de riscos, temerária para a segurança institucional. Para que os Estudos Marítimos avancem em direção a uma governança robusta, é preciso elevar o dado da categoria de simples "observação científica", muitas vezes tratada como acessória ou meramente descritiva, para o status de "evidência auditada" e "prova geográfica" (Power, 1997). Aqui, introduz-se o conceito de Estatística Forense aplicada ao meio ambiente marinho, uma disciplina que transcende a análise descritiva para ingressar no campo da validação jurídica e do controle de riscos de Estado (Gastwirth, 1988).</w:t>
      </w:r>
    </w:p>
    <w:p w:rsidR="00000000" w:rsidDel="00000000" w:rsidP="00000000" w:rsidRDefault="00000000" w:rsidRPr="00000000" w14:paraId="0000002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 a perspectiva da ciência geográfica, o dado não é uma entidade abstrata; ele é a representação de uma materialidade em um ponto específico do território. Conforme discutido anteriormente, o dado (seja ele metoceânico, financeiro ou de qualquer outra natureza) é apenas o portador da informação. A informação real, necessária para a governança, reside na interpretação dessa evidência através de um rigor matemático capaz de detectar anomalias e rupturas estruturais nas séries temporais. Sem esse escrutínio forense, o Estado opera sobre uma "geografia fantasma", baseada em registros que podem não mais guardar aderência com a realidade física mutável da Amazônia Azul.</w:t>
      </w:r>
    </w:p>
    <w:p w:rsidR="00000000" w:rsidDel="00000000" w:rsidP="00000000" w:rsidRDefault="00000000" w:rsidRPr="00000000" w14:paraId="0000002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Estatística Forense surge como a disciplina necessária para auditar a validade das premissas ao longo do tempo, funcionando como um mecanismo fundamental de compliance ambiental e estratégico. No contexto corporativo e público, a tomada de decisão baseada em dados corrompidos, enviesados ou obsoletos fere frontalmente os princípios de governança corporativa e os deveres de eficiência e moralidade administrativa.</w:t>
      </w:r>
    </w:p>
    <w:p w:rsidR="00000000" w:rsidDel="00000000" w:rsidP="00000000" w:rsidRDefault="00000000" w:rsidRPr="00000000" w14:paraId="0000002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governança contemporânea exige o que denominamos "Cadeia de Custódia do Dado Marítimo". Assim como balanços financeiros são auditados por terceiros independentes para garantir a fé pública e a transparência dos mercados, os "balanços metoceânicos", bancos de dados de ondas, ventos e correntes que sustentam investimentos bilionários no Pré-Sal e na Margem Equatorial, devem passar por escrutínio semelhante. O dado metoceânico é o portador da informação histórica e futura. Assim, se ele estiver "contaminado" por viés de medição, erros de calibração ou desatualização temporal perante a não-estacionariedade, toda a cadeia de decisão subsequente,  do licenciamento ambiental ao cálculo de fadiga estrutural, torna-se nula de pleno direito técnico.</w:t>
      </w:r>
    </w:p>
    <w:p w:rsidR="00000000" w:rsidDel="00000000" w:rsidP="00000000" w:rsidRDefault="00000000" w:rsidRPr="00000000" w14:paraId="0000002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nulidade técnica possui implicações severas na responsabilidade do gestor público. O dever de </w:t>
      </w:r>
      <w:r w:rsidDel="00000000" w:rsidR="00000000" w:rsidRPr="00000000">
        <w:rPr>
          <w:rFonts w:ascii="Times New Roman" w:cs="Times New Roman" w:eastAsia="Times New Roman" w:hAnsi="Times New Roman"/>
          <w:i w:val="1"/>
          <w:iCs w:val="1"/>
          <w:sz w:val="24"/>
          <w:szCs w:val="24"/>
          <w:rtl w:val="0"/>
        </w:rPr>
        <w:t xml:space="preserve">due diligence</w:t>
      </w:r>
      <w:r w:rsidDel="00000000" w:rsidR="00000000" w:rsidRPr="00000000">
        <w:rPr>
          <w:rFonts w:ascii="Times New Roman" w:cs="Times New Roman" w:eastAsia="Times New Roman" w:hAnsi="Times New Roman"/>
          <w:sz w:val="24"/>
          <w:szCs w:val="24"/>
          <w:rtl w:val="0"/>
        </w:rPr>
        <w:t xml:space="preserve"> informacional implica que a Administração Pública não pode manter-se em estado de cegueira deliberada. Portanto, ignorar que os dados de 1990 não representam o mar de 2026 constitui uma falha na gestão de riscos que pode ensejar processos de responsabilização por dano ao erário ou desastre ambiental. A estatística forense, portanto, atua como o "motor de detecção" de tais rupturas, garantindo que o arcabouço técnico do Estado permaneça íntegro diante da volatilidade climática.</w:t>
      </w:r>
    </w:p>
    <w:p w:rsidR="00000000" w:rsidDel="00000000" w:rsidP="00000000" w:rsidRDefault="00000000" w:rsidRPr="00000000" w14:paraId="0000002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conseguinte, observa-se que a soberania informacional não se exerce apenas possuindo o dado bruto em servidores nacionais, mas garantindo sua integridade, rastreabilidade e autonomia interpretativa. Modelos de reanálise global (como o ERA5 do Centro Europeu de Previsão de Médio Prazo) são ferramentas computacionais poderosas, mas não possuem fé pública automática no território nacional, sem uma validação local (calibração e </w:t>
      </w:r>
      <w:r w:rsidDel="00000000" w:rsidR="00000000" w:rsidRPr="00000000">
        <w:rPr>
          <w:rFonts w:ascii="Times New Roman" w:cs="Times New Roman" w:eastAsia="Times New Roman" w:hAnsi="Times New Roman"/>
          <w:i w:val="1"/>
          <w:iCs w:val="1"/>
          <w:sz w:val="24"/>
          <w:szCs w:val="24"/>
          <w:rtl w:val="0"/>
        </w:rPr>
        <w:t xml:space="preserve">downscaling</w:t>
      </w:r>
      <w:r w:rsidDel="00000000" w:rsidR="00000000" w:rsidRPr="00000000">
        <w:rPr>
          <w:rFonts w:ascii="Times New Roman" w:cs="Times New Roman" w:eastAsia="Times New Roman" w:hAnsi="Times New Roman"/>
          <w:sz w:val="24"/>
          <w:szCs w:val="24"/>
          <w:rtl w:val="0"/>
        </w:rPr>
        <w:t xml:space="preserve">) rigorosa e independente.</w:t>
      </w:r>
    </w:p>
    <w:p w:rsidR="00000000" w:rsidDel="00000000" w:rsidP="00000000" w:rsidRDefault="00000000" w:rsidRPr="00000000" w14:paraId="0000002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Aceitar cegamente modelos estrangeiros sobre o comportamento do Atlântico Sul é uma forma de renúncia geográfica. Ao instituir protocolos de auditoria estatística, o Brasil nacionaliza a inteligência sobre seu mar e reafirma sua territorialidade digital. Em vez de aceitar "caixas-pretas" de consultorias internacionais ou modelos globais que podem ocultar incertezas críticas, o Estado passa a exigir a abertura dos códigos, a transparência das metodologias e a demonstração empírica da aderência dos modelos à realidade física medida </w:t>
      </w:r>
      <w:r w:rsidDel="00000000" w:rsidR="00000000" w:rsidRPr="00000000">
        <w:rPr>
          <w:rFonts w:ascii="Times New Roman" w:cs="Times New Roman" w:eastAsia="Times New Roman" w:hAnsi="Times New Roman"/>
          <w:i w:val="1"/>
          <w:iCs w:val="1"/>
          <w:sz w:val="24"/>
          <w:szCs w:val="24"/>
          <w:rtl w:val="0"/>
        </w:rPr>
        <w:t xml:space="preserve">in situ</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isso é, na essência, a capacidade de exercer o poder regulatório em sua plenitude. Conforme apontam estudiosos da área, a soberania, no século XXI, é algorítmica (Bush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 Assim, internacionalmente, as normas ISO 8000 (Qualidade de Dados) e ISO 14001 (Gestão Ambiental) fornecem o arcabouço normativo inicial para essa exigência, mas o Estado deve ir além, transformando a análise de dados em um processo contínuo de garantia da qualidade (</w:t>
      </w:r>
      <w:r w:rsidDel="00000000" w:rsidR="00000000" w:rsidRPr="00000000">
        <w:rPr>
          <w:rFonts w:ascii="Times New Roman" w:cs="Times New Roman" w:eastAsia="Times New Roman" w:hAnsi="Times New Roman"/>
          <w:i w:val="1"/>
          <w:iCs w:val="1"/>
          <w:sz w:val="24"/>
          <w:szCs w:val="24"/>
          <w:rtl w:val="0"/>
        </w:rPr>
        <w:t xml:space="preserve">quality assurance</w:t>
      </w:r>
      <w:r w:rsidDel="00000000" w:rsidR="00000000" w:rsidRPr="00000000">
        <w:rPr>
          <w:rFonts w:ascii="Times New Roman" w:cs="Times New Roman" w:eastAsia="Times New Roman" w:hAnsi="Times New Roman"/>
          <w:sz w:val="24"/>
          <w:szCs w:val="24"/>
          <w:rtl w:val="0"/>
        </w:rPr>
        <w:t xml:space="preserve">) e segurança informacional. Trata-se de uma questão de segurança nacional: a infraestrutura crítica brasileira não pode ser projetada sobre incerteza estocástica não quantificada (</w:t>
      </w:r>
      <w:r w:rsidDel="00000000" w:rsidR="00000000" w:rsidRPr="00000000">
        <w:rPr>
          <w:rFonts w:ascii="Times New Roman" w:cs="Times New Roman" w:eastAsia="Times New Roman" w:hAnsi="Times New Roman"/>
          <w:sz w:val="24"/>
          <w:szCs w:val="24"/>
          <w:rtl w:val="0"/>
        </w:rPr>
        <w:t xml:space="preserve">International Organization for Standardization</w:t>
      </w:r>
      <w:r w:rsidDel="00000000" w:rsidR="00000000" w:rsidRPr="00000000">
        <w:rPr>
          <w:rFonts w:ascii="Times New Roman" w:cs="Times New Roman" w:eastAsia="Times New Roman" w:hAnsi="Times New Roman"/>
          <w:sz w:val="24"/>
          <w:szCs w:val="24"/>
          <w:rtl w:val="0"/>
        </w:rPr>
        <w:t xml:space="preserve">, 2022).</w:t>
      </w:r>
    </w:p>
    <w:p w:rsidR="00000000" w:rsidDel="00000000" w:rsidP="00000000" w:rsidRDefault="00000000" w:rsidRPr="00000000" w14:paraId="0000002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Nesta nova fronteira da governança, a Estatística Forense torna-se o instrumento de defesa contra o "colonialismo de dados", permitindo que o Brasil audite as premissas impostas pelo mercado global e garanta que sua transição energética e exploração de recursos marinhos ocorram sobre bases sólidas e inquestionáveis, resguardando sua independência. Assim, a verdade contida nos dados, quando devidamente auditada, é a blindagem final da soberania nacional sobre a Amazônia Azul.</w:t>
      </w:r>
    </w:p>
    <w:p w:rsidR="00000000" w:rsidDel="00000000" w:rsidP="00000000" w:rsidRDefault="00000000" w:rsidRPr="00000000" w14:paraId="00000030">
      <w:pPr>
        <w:pStyle w:val="Heading2"/>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IV - GOVERNANÇA E TRANSPARÊNCIA: O PROTOCOLO ASAM COMO STANDARD DE HOMOLOGAÇÃO</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da insuficiência dos modelos estáticos tradicionais, que falham ao desconsiderar a dinâmica não estacionária dos oceanos, a governança marítima demanda a implementação de </w:t>
      </w:r>
      <w:r w:rsidDel="00000000" w:rsidR="00000000" w:rsidRPr="00000000">
        <w:rPr>
          <w:rFonts w:ascii="Times New Roman" w:cs="Times New Roman" w:eastAsia="Times New Roman" w:hAnsi="Times New Roman"/>
          <w:i w:val="1"/>
          <w:iCs w:val="1"/>
          <w:sz w:val="24"/>
          <w:szCs w:val="24"/>
          <w:rtl w:val="0"/>
        </w:rPr>
        <w:t xml:space="preserve">frameworks</w:t>
      </w:r>
      <w:r w:rsidDel="00000000" w:rsidR="00000000" w:rsidRPr="00000000">
        <w:rPr>
          <w:rFonts w:ascii="Times New Roman" w:cs="Times New Roman" w:eastAsia="Times New Roman" w:hAnsi="Times New Roman"/>
          <w:sz w:val="24"/>
          <w:szCs w:val="24"/>
          <w:rtl w:val="0"/>
        </w:rPr>
        <w:t xml:space="preserve"> de auditoria independentes e padronizados. No contexto da geografia do poder, o controle sobre o território não se encerra na presença física, haja vista que ele se estende à validação técnica das premissas que regem o uso desse espaço. O Protocolo Auditoria de Severidade Ambiental Metoceânica (ASAM) apresenta-se, neste contexto, como um motor de decisão binário, fundamentado na aplicação de teoremas estatísticos sobre as séries temporais para validar as premissas estratégicas essenciais à Alta Administração, para auxílio no processo de tomada de decisão.</w:t>
      </w:r>
    </w:p>
    <w:p w:rsidR="00000000" w:rsidDel="00000000" w:rsidP="00000000" w:rsidRDefault="00000000" w:rsidRPr="00000000" w14:paraId="0000003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implementação de padrões de homologação técnica diferencia a gestão reativa da governança proativa. O ASAM atua como um mediador entre a incerteza do ambiente físico e a necessidade de estabilidade das instituições. Ele inverte o ônus da prova: não busca confirmar qualitativamente a mudança climática, mas testar exaustivamente uma hipótese nula (</w:t>
      </w:r>
      <m:oMath>
        <m:sSub>
          <m:sSubPr>
            <m:ctrlPr>
              <w:rPr>
                <w:rFonts w:ascii="Times New Roman" w:cs="Times New Roman" w:eastAsia="Times New Roman" w:hAnsi="Times New Roman"/>
                <w:sz w:val="24"/>
                <w:szCs w:val="24"/>
              </w:rPr>
            </m:ctrlPr>
          </m:sSubPr>
          <m:e>
            <m:r>
              <w:rPr>
                <w:rFonts w:ascii="Times New Roman" w:cs="Times New Roman" w:eastAsia="Times New Roman" w:hAnsi="Times New Roman"/>
                <w:sz w:val="24"/>
                <w:szCs w:val="24"/>
              </w:rPr>
              <m:t xml:space="preserve">H</m:t>
            </m:r>
          </m:e>
          <m:sub>
            <m:r>
              <w:rPr>
                <w:rFonts w:ascii="Times New Roman" w:cs="Times New Roman" w:eastAsia="Times New Roman" w:hAnsi="Times New Roman"/>
                <w:sz w:val="24"/>
                <w:szCs w:val="24"/>
              </w:rPr>
              <m:t xml:space="preserve">O</m:t>
            </m:r>
          </m:sub>
        </m:sSub>
      </m:oMath>
      <w:r w:rsidDel="00000000" w:rsidR="00000000" w:rsidRPr="00000000">
        <w:rPr>
          <w:rFonts w:ascii="Times New Roman" w:cs="Times New Roman" w:eastAsia="Times New Roman" w:hAnsi="Times New Roman"/>
          <w:sz w:val="24"/>
          <w:szCs w:val="24"/>
          <w:rtl w:val="0"/>
        </w:rPr>
        <w:t xml:space="preserve">) de que o regime oceanográfico permaneceu estável. Se a probabilidade estatística (</w:t>
      </w:r>
      <m:oMath>
        <m:r>
          <w:rPr>
            <w:rFonts w:ascii="Times New Roman" w:cs="Times New Roman" w:eastAsia="Times New Roman" w:hAnsi="Times New Roman"/>
            <w:sz w:val="24"/>
            <w:szCs w:val="24"/>
          </w:rPr>
          <m:t xml:space="preserve">p-valor</m:t>
        </m:r>
      </m:oMath>
      <w:r w:rsidDel="00000000" w:rsidR="00000000" w:rsidRPr="00000000">
        <w:rPr>
          <w:rFonts w:ascii="Times New Roman" w:cs="Times New Roman" w:eastAsia="Times New Roman" w:hAnsi="Times New Roman"/>
          <w:sz w:val="24"/>
          <w:szCs w:val="24"/>
          <w:rtl w:val="0"/>
        </w:rPr>
        <w:t xml:space="preserve">) indicar ruptura, estabelece-se matematicamente a invalidade da premissa histórica, transformando a complexidade dos dados brutos em inteligência territorial auditada.</w:t>
      </w:r>
    </w:p>
    <w:p w:rsidR="00000000" w:rsidDel="00000000" w:rsidP="00000000" w:rsidRDefault="00000000" w:rsidRPr="00000000" w14:paraId="0000003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função primordial do protocolo é estabelecer um regime de </w:t>
      </w:r>
      <w:r w:rsidDel="00000000" w:rsidR="00000000" w:rsidRPr="00000000">
        <w:rPr>
          <w:rFonts w:ascii="Times New Roman" w:cs="Times New Roman" w:eastAsia="Times New Roman" w:hAnsi="Times New Roman"/>
          <w:i w:val="1"/>
          <w:iCs w:val="1"/>
          <w:sz w:val="24"/>
          <w:szCs w:val="24"/>
          <w:rtl w:val="0"/>
        </w:rPr>
        <w:t xml:space="preserve">compliance</w:t>
      </w:r>
      <w:r w:rsidDel="00000000" w:rsidR="00000000" w:rsidRPr="00000000">
        <w:rPr>
          <w:rFonts w:ascii="Times New Roman" w:cs="Times New Roman" w:eastAsia="Times New Roman" w:hAnsi="Times New Roman"/>
          <w:sz w:val="24"/>
          <w:szCs w:val="24"/>
          <w:rtl w:val="0"/>
        </w:rPr>
        <w:t xml:space="preserve"> técnico que verifique a aderência (</w:t>
      </w:r>
      <w:r w:rsidDel="00000000" w:rsidR="00000000" w:rsidRPr="00000000">
        <w:rPr>
          <w:rFonts w:ascii="Times New Roman" w:cs="Times New Roman" w:eastAsia="Times New Roman" w:hAnsi="Times New Roman"/>
          <w:i w:val="1"/>
          <w:iCs w:val="1"/>
          <w:sz w:val="24"/>
          <w:szCs w:val="24"/>
          <w:rtl w:val="0"/>
        </w:rPr>
        <w:t xml:space="preserve">goodness-of-fit</w:t>
      </w:r>
      <w:r w:rsidDel="00000000" w:rsidR="00000000" w:rsidRPr="00000000">
        <w:rPr>
          <w:rFonts w:ascii="Times New Roman" w:cs="Times New Roman" w:eastAsia="Times New Roman" w:hAnsi="Times New Roman"/>
          <w:sz w:val="24"/>
          <w:szCs w:val="24"/>
          <w:rtl w:val="0"/>
        </w:rPr>
        <w:t xml:space="preserve">) das bases de dados utilizadas em projetos de engenharia e defesa à realidade física atual do oceano. A lógica do ASAM opera através da comparação entre uma "população de referência" (série histórica) e uma "população contemporânea" (dados recentes), submetendo-as a quatro estágios críticos de verificação forense, a saber:</w:t>
      </w:r>
    </w:p>
    <w:p w:rsidR="00000000" w:rsidDel="00000000" w:rsidP="00000000" w:rsidRDefault="00000000" w:rsidRPr="00000000" w14:paraId="00000035">
      <w:pPr>
        <w:numPr>
          <w:ilvl w:val="0"/>
          <w:numId w:val="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Ingestão e Controle de Qualidade (QC): segregação de ruídos instrumentais para garantir a integridade da "matéria-prima" da prova pericial;</w:t>
      </w:r>
    </w:p>
    <w:p w:rsidR="00000000" w:rsidDel="00000000" w:rsidP="00000000" w:rsidRDefault="00000000" w:rsidRPr="00000000" w14:paraId="00000036">
      <w:pPr>
        <w:numPr>
          <w:ilvl w:val="0"/>
          <w:numId w:val="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Auditoria Vetorial: análise decomposta de variáveis críticas, vetores escalares (magnitude do vento), espectrais (período de pico das ondas) e de volatilidade (rajadas), para identificar distorções na Função de Densidade de Probabilidade (PDF);</w:t>
      </w:r>
    </w:p>
    <w:p w:rsidR="00000000" w:rsidDel="00000000" w:rsidP="00000000" w:rsidRDefault="00000000" w:rsidRPr="00000000" w14:paraId="00000037">
      <w:pPr>
        <w:numPr>
          <w:ilvl w:val="0"/>
          <w:numId w:val="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Teste de Aderência: aplicação de testes não paramétricos, como o Kolmogorov-Smirnov (KS), para quantificar a distância estatística entre as distribuições históricas e atuais; e</w:t>
      </w:r>
    </w:p>
    <w:p w:rsidR="00000000" w:rsidDel="00000000" w:rsidP="00000000" w:rsidRDefault="00000000" w:rsidRPr="00000000" w14:paraId="00000038">
      <w:pPr>
        <w:numPr>
          <w:ilvl w:val="0"/>
          <w:numId w:val="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Detecção de Deriva (</w:t>
      </w:r>
      <w:r w:rsidDel="00000000" w:rsidR="00000000" w:rsidRPr="00000000">
        <w:rPr>
          <w:rFonts w:ascii="Times New Roman" w:cs="Times New Roman" w:eastAsia="Times New Roman" w:hAnsi="Times New Roman"/>
          <w:i w:val="1"/>
          <w:iCs w:val="1"/>
          <w:sz w:val="24"/>
          <w:szCs w:val="24"/>
          <w:rtl w:val="0"/>
        </w:rPr>
        <w:t xml:space="preserve">Dataset Drift</w:t>
      </w:r>
      <w:r w:rsidDel="00000000" w:rsidR="00000000" w:rsidRPr="00000000">
        <w:rPr>
          <w:rFonts w:ascii="Times New Roman" w:cs="Times New Roman" w:eastAsia="Times New Roman" w:hAnsi="Times New Roman"/>
          <w:sz w:val="24"/>
          <w:szCs w:val="24"/>
          <w:rtl w:val="0"/>
        </w:rPr>
        <w:t xml:space="preserve">): identificação de violações na estacionariedade estrita, onde a distribuição conjunta de probabilidade da série sofreu mutação estrutural.</w:t>
      </w:r>
    </w:p>
    <w:p w:rsidR="00000000" w:rsidDel="00000000" w:rsidP="00000000" w:rsidRDefault="00000000" w:rsidRPr="00000000" w14:paraId="0000003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assimetria informacional é um dos maiores gargalos para a eficiência da Economia Azul. Sem um padrão de auditoria independente, o regulador torna-se refém da informação produzida pelo regulado. A aplicação de uma auditoria padronizada, sob a égide do ASAM, permite ao Estado aferir as premissas de projeto com rigor matemático. Por exemplo, a reavaliação de uma série de ventos extremos na região da Margem Equatorial pode demonstrar, via auditoria de caudas da distribuição, que uma estrutura projetada para suportar eventos de 100 anos está exposta a uma recorrência de 20 anos. O </w:t>
      </w:r>
      <w:r w:rsidDel="00000000" w:rsidR="00000000" w:rsidRPr="00000000">
        <w:rPr>
          <w:rFonts w:ascii="Times New Roman" w:cs="Times New Roman" w:eastAsia="Times New Roman" w:hAnsi="Times New Roman"/>
          <w:i w:val="1"/>
          <w:iCs w:val="1"/>
          <w:sz w:val="24"/>
          <w:szCs w:val="24"/>
          <w:rtl w:val="0"/>
        </w:rPr>
        <w:t xml:space="preserve">compliance</w:t>
      </w:r>
      <w:r w:rsidDel="00000000" w:rsidR="00000000" w:rsidRPr="00000000">
        <w:rPr>
          <w:rFonts w:ascii="Times New Roman" w:cs="Times New Roman" w:eastAsia="Times New Roman" w:hAnsi="Times New Roman"/>
          <w:sz w:val="24"/>
          <w:szCs w:val="24"/>
          <w:rtl w:val="0"/>
        </w:rPr>
        <w:t xml:space="preserve"> técnico funciona, assim, como uma barreira de segurança contra a obsolescência paramétrica e a utilização de "dados zumbis", séries que possuem formato válido, mas perderam sua representatividade estatística.</w:t>
      </w:r>
    </w:p>
    <w:p w:rsidR="00000000" w:rsidDel="00000000" w:rsidP="00000000" w:rsidRDefault="00000000" w:rsidRPr="00000000" w14:paraId="0000003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adoção de protocolos de auditoria confere robustez e legitimidade ao processo decisório estatal, atuando como um </w:t>
      </w:r>
      <w:r w:rsidDel="00000000" w:rsidR="00000000" w:rsidRPr="00000000">
        <w:rPr>
          <w:rFonts w:ascii="Times New Roman" w:cs="Times New Roman" w:eastAsia="Times New Roman" w:hAnsi="Times New Roman"/>
          <w:i w:val="1"/>
          <w:iCs w:val="1"/>
          <w:sz w:val="24"/>
          <w:szCs w:val="24"/>
          <w:rtl w:val="0"/>
        </w:rPr>
        <w:t xml:space="preserve">gatekeeper</w:t>
      </w:r>
      <w:r w:rsidDel="00000000" w:rsidR="00000000" w:rsidRPr="00000000">
        <w:rPr>
          <w:rFonts w:ascii="Times New Roman" w:cs="Times New Roman" w:eastAsia="Times New Roman" w:hAnsi="Times New Roman"/>
          <w:sz w:val="24"/>
          <w:szCs w:val="24"/>
          <w:rtl w:val="0"/>
        </w:rPr>
        <w:t xml:space="preserve"> (porteiro estatístico) dos investimentos. Ao fundamentar deliberações em evidências estatísticas auditadas, a gestão pública transita da discricionariedade subjetiva para a objetividade técnica blindada por métodos forenses. O fluxo torna-se binário: se a série temporal é reprovada no teste de hipótese, seu uso é vetado para modelagem de risco, mitigando o perigo da "cegueira deliberada" (</w:t>
      </w:r>
      <w:r w:rsidDel="00000000" w:rsidR="00000000" w:rsidRPr="00000000">
        <w:rPr>
          <w:rFonts w:ascii="Times New Roman" w:cs="Times New Roman" w:eastAsia="Times New Roman" w:hAnsi="Times New Roman"/>
          <w:i w:val="1"/>
          <w:iCs w:val="1"/>
          <w:sz w:val="24"/>
          <w:szCs w:val="24"/>
          <w:rtl w:val="0"/>
        </w:rPr>
        <w:t xml:space="preserve">willful blindness</w:t>
      </w:r>
      <w:r w:rsidDel="00000000" w:rsidR="00000000" w:rsidRPr="00000000">
        <w:rPr>
          <w:rFonts w:ascii="Times New Roman" w:cs="Times New Roman" w:eastAsia="Times New Roman" w:hAnsi="Times New Roman"/>
          <w:sz w:val="24"/>
          <w:szCs w:val="24"/>
          <w:rtl w:val="0"/>
        </w:rPr>
        <w:t xml:space="preserve">). Tal movimento é vital para a segurança institucional, conferindo rastreabilidade total aos atos administrativos, elemento central para a </w:t>
      </w:r>
      <w:r w:rsidDel="00000000" w:rsidR="00000000" w:rsidRPr="00000000">
        <w:rPr>
          <w:rFonts w:ascii="Times New Roman" w:cs="Times New Roman" w:eastAsia="Times New Roman" w:hAnsi="Times New Roman"/>
          <w:i w:val="1"/>
          <w:iCs w:val="1"/>
          <w:sz w:val="24"/>
          <w:szCs w:val="24"/>
          <w:rtl w:val="0"/>
        </w:rPr>
        <w:t xml:space="preserve">accountability</w:t>
      </w:r>
      <w:r w:rsidDel="00000000" w:rsidR="00000000" w:rsidRPr="00000000">
        <w:rPr>
          <w:rFonts w:ascii="Times New Roman" w:cs="Times New Roman" w:eastAsia="Times New Roman" w:hAnsi="Times New Roman"/>
          <w:sz w:val="24"/>
          <w:szCs w:val="24"/>
          <w:rtl w:val="0"/>
        </w:rPr>
        <w:t xml:space="preserve"> exigida pelos órgãos de controle externo, como o Tribunal de Contas da União (TCU) e o Ministério Público (MP) (Brasil, 2018; Ehler e Douvere, 2009).</w:t>
      </w:r>
    </w:p>
    <w:p w:rsidR="00000000" w:rsidDel="00000000" w:rsidP="00000000" w:rsidRDefault="00000000" w:rsidRPr="00000000" w14:paraId="0000003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um cenário de crescente judicialização de projetos de infraestrutura, a decisão amparada em laudos técnicos de auditoria constitui uma medida de prudência administrativa. Ela previne litígios futuros ao eliminar ambiguidades nas premissas de projeto e garante a sustentabilidade jurídica dos empreendimentos estabelecidos no espaço marítimo da Amazônia Azul. A governança, sob esta ótica, deixa de ser um exercício burocrático para se tornar um exercício de soberania técnica. Ao certificar a integridade dos dados que sustentam a infraestrutura estratégica, o Estado não apenas protege seus ativos financeiros, mas reafirma seu domínio cognitivo sobre a fronteira oceânica, assegurando que a expansão econômica ocorra sobre bases sólidas, transparentes e resilientes.</w:t>
      </w:r>
    </w:p>
    <w:p w:rsidR="00000000" w:rsidDel="00000000" w:rsidP="00000000" w:rsidRDefault="00000000" w:rsidRPr="00000000" w14:paraId="0000003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implementação de padrões de homologação técnica é o que diferencia a gestão reativa da governança proativa. O ASAM atua como um mediador entre a incerteza do ambiente físico e a necessidade de estabilidade das instituições jurídicas e econômicas que operam na Amazônia Azul. Ele estabelece uma "ponte de confiabilidade" que permite ao Estado exercer sua função reguladora com base em evidências materiais inquestionáveis, transformando a complexidade dos dados brutos em inteligência territorial gerenciável.</w:t>
      </w:r>
    </w:p>
    <w:p w:rsidR="00000000" w:rsidDel="00000000" w:rsidP="00000000" w:rsidRDefault="00000000" w:rsidRPr="00000000" w14:paraId="0000003D">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pStyle w:val="Heading2"/>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 - CONSIDERAÇÕES FINAIS</w:t>
      </w:r>
    </w:p>
    <w:p w:rsidR="00000000" w:rsidDel="00000000" w:rsidP="00000000" w:rsidRDefault="00000000" w:rsidRPr="00000000" w14:paraId="0000003F">
      <w:pPr>
        <w:pStyle w:val="Heading2"/>
        <w:spacing w:line="360" w:lineRule="auto"/>
        <w:ind w:firstLine="720"/>
        <w:jc w:val="both"/>
        <w:rPr>
          <w:rFonts w:ascii="Times New Roman" w:cs="Times New Roman" w:eastAsia="Times New Roman" w:hAnsi="Times New Roman"/>
          <w:b w:val="0"/>
          <w:bCs w:val="0"/>
          <w:color w:val="000000"/>
          <w:sz w:val="24"/>
          <w:szCs w:val="24"/>
        </w:rPr>
      </w:pPr>
      <w:r w:rsidDel="00000000" w:rsidR="00000000" w:rsidRPr="00000000">
        <w:rPr>
          <w:rtl w:val="0"/>
        </w:rPr>
      </w:r>
    </w:p>
    <w:p w:rsidR="00000000" w:rsidDel="00000000" w:rsidP="00000000" w:rsidRDefault="00000000" w:rsidRPr="00000000" w14:paraId="00000040">
      <w:pPr>
        <w:pStyle w:val="Heading2"/>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color w:val="000000"/>
          <w:sz w:val="24"/>
          <w:szCs w:val="24"/>
          <w:rtl w:val="0"/>
        </w:rPr>
        <w:t xml:space="preserve">A trajetória argumentativa percorrida neste capítulo converge para uma constatação inescapável: a governança da Amazônia Azul no século XXI exige uma ruptura epistemológica definitiva com os paradigmas de gestão pretéritos herdados do século XX. Demonstramos que a Hipótese de Estacionariedade, a crença de que o passado climático é um previsor confiável do futuro, ruiu diante das evidências estatísticas da mudança global e da transição de regime observada nos oceanos. Não se trata unicamente de uma conjectura acadêmica, mas de um fato físico observável nos dados.</w:t>
      </w:r>
      <w:r w:rsidDel="00000000" w:rsidR="00000000" w:rsidRPr="00000000">
        <w:rPr>
          <w:rtl w:val="0"/>
        </w:rPr>
      </w:r>
    </w:p>
    <w:p w:rsidR="00000000" w:rsidDel="00000000" w:rsidP="00000000" w:rsidRDefault="00000000" w:rsidRPr="00000000" w14:paraId="0000004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conseguinte, sob a ótica da ciência geográfica, essa ruptura implica o reconhecimento de que o "espaço marítimo" não é um receptáculo estático de atividades, mas um território dinâmico cujas variáveis biofísicas estão em processo de deriva paramétrica. Manter a premissa da estacionariedade como base para o licenciamento de obras de infraestrutura, a concessão de blocos exploratórios de hidrocarbonetos ou a estruturação do Planejamento Espacial Marinho não é mais uma opção técnica conservadora; é, em última análise, uma imprudência administrativa com severas implicações de responsabilidade civil para o Estado e para os seus entes reguladores. Portanto, a governança baseada em dados obsoletos cria o que a geografia dos riscos denomina de "vulnerabilidade sistêmica induzida", onde o desastre não é um acidente, mas o resultado de um erro de premissa institucionalizado.</w:t>
      </w:r>
    </w:p>
    <w:p w:rsidR="00000000" w:rsidDel="00000000" w:rsidP="00000000" w:rsidRDefault="00000000" w:rsidRPr="00000000" w14:paraId="0000004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soberania nacional, historicamente garantida pela presença naval ostensiva e pela defesa física das águas jurisdicionais, transita agora para a esfera do domínio cognitivo e algorítmico (Andrade, Rocha e Franco, 2019). Em um cenário de </w:t>
      </w:r>
      <w:r w:rsidDel="00000000" w:rsidR="00000000" w:rsidRPr="00000000">
        <w:rPr>
          <w:rFonts w:ascii="Times New Roman" w:cs="Times New Roman" w:eastAsia="Times New Roman" w:hAnsi="Times New Roman"/>
          <w:i w:val="1"/>
          <w:iCs w:val="1"/>
          <w:sz w:val="24"/>
          <w:szCs w:val="24"/>
          <w:rtl w:val="0"/>
        </w:rPr>
        <w:t xml:space="preserve">Tech-Nationalism</w:t>
      </w:r>
      <w:r w:rsidDel="00000000" w:rsidR="00000000" w:rsidRPr="00000000">
        <w:rPr>
          <w:rFonts w:ascii="Times New Roman" w:cs="Times New Roman" w:eastAsia="Times New Roman" w:hAnsi="Times New Roman"/>
          <w:sz w:val="24"/>
          <w:szCs w:val="24"/>
          <w:rtl w:val="0"/>
        </w:rPr>
        <w:t xml:space="preserve">, onde dados e algoritmos operam como ativos estratégicos de poder, o Brasil não pode se limitar à condição de exportador de </w:t>
      </w:r>
      <w:r w:rsidDel="00000000" w:rsidR="00000000" w:rsidRPr="00000000">
        <w:rPr>
          <w:rFonts w:ascii="Times New Roman" w:cs="Times New Roman" w:eastAsia="Times New Roman" w:hAnsi="Times New Roman"/>
          <w:i w:val="1"/>
          <w:iCs w:val="1"/>
          <w:sz w:val="24"/>
          <w:szCs w:val="24"/>
          <w:rtl w:val="0"/>
        </w:rPr>
        <w:t xml:space="preserve">commodities </w:t>
      </w:r>
      <w:r w:rsidDel="00000000" w:rsidR="00000000" w:rsidRPr="00000000">
        <w:rPr>
          <w:rFonts w:ascii="Times New Roman" w:cs="Times New Roman" w:eastAsia="Times New Roman" w:hAnsi="Times New Roman"/>
          <w:sz w:val="24"/>
          <w:szCs w:val="24"/>
          <w:rtl w:val="0"/>
        </w:rPr>
        <w:t xml:space="preserve">e importador de inteligência oceanográfica (Fenton, 2024). A dependência crítica de reanálises climáticas globais, como o ERA5 ou NCEP, sem a devida validação e homologação local, cria uma vulnerabilidade sistêmica que compromete a autonomia decisória do Estado brasileiro.</w:t>
      </w:r>
    </w:p>
    <w:p w:rsidR="00000000" w:rsidDel="00000000" w:rsidP="00000000" w:rsidRDefault="00000000" w:rsidRPr="00000000" w14:paraId="0000004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verdadeira independência na gestão da ZEE e seus recursos reside na capacidade soberana de instituir protocolos próprios de auditoria forense, como o Protocolo ASAM, que funcionem como filtros de soberania informacional. Somente auditando as premissas que alimentam os modelos de engenharia </w:t>
      </w:r>
      <w:r w:rsidDel="00000000" w:rsidR="00000000" w:rsidRPr="00000000">
        <w:rPr>
          <w:rFonts w:ascii="Times New Roman" w:cs="Times New Roman" w:eastAsia="Times New Roman" w:hAnsi="Times New Roman"/>
          <w:i w:val="1"/>
          <w:iCs w:val="1"/>
          <w:sz w:val="24"/>
          <w:szCs w:val="24"/>
          <w:rtl w:val="0"/>
        </w:rPr>
        <w:t xml:space="preserve">offshore </w:t>
      </w:r>
      <w:r w:rsidDel="00000000" w:rsidR="00000000" w:rsidRPr="00000000">
        <w:rPr>
          <w:rFonts w:ascii="Times New Roman" w:cs="Times New Roman" w:eastAsia="Times New Roman" w:hAnsi="Times New Roman"/>
          <w:sz w:val="24"/>
          <w:szCs w:val="24"/>
          <w:rtl w:val="0"/>
        </w:rPr>
        <w:t xml:space="preserve">e os sistemas de defesa poderemos garantir que as decisões estratégicas sobre o Pré-Sal ou a Margem Equatorial sejam tomadas com base na verdade material da realidade física brasileira, e não em aproximações estatísticas geradas em centros de pesquisa do Hemisfério Norte. A soberania algorítmica é, portanto, o novo pilar do Poder Marítimo, tendo a capacidade de interrogar o dado metoceânico e detectar anomalias antes que elas se traduzam em colapsos estruturais ou prejuízos econômicos.</w:t>
      </w:r>
    </w:p>
    <w:p w:rsidR="00000000" w:rsidDel="00000000" w:rsidP="00000000" w:rsidRDefault="00000000" w:rsidRPr="00000000" w14:paraId="0000004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 a ótica do direito administrativo e da Gestão Pública contemporânea, a adoção de auditorias estatísticas forenses constitui um mecanismo fundamental de proteção ao erário e de mitigação de riscos contratuais. A persistência em utilizar "artefatos estatísticos obsoletos", dados que não mais guardam aderência com a realidade física atual, para fundamentar contratos de concessão de longo prazo, como os de parques eólicos offshore com vida útil superior a três décadas, planta a semente para futuros litígios e pedidos de reequilíbrio econômico-financeiro bilionários contra a União.</w:t>
      </w:r>
    </w:p>
    <w:p w:rsidR="00000000" w:rsidDel="00000000" w:rsidP="00000000" w:rsidRDefault="00000000" w:rsidRPr="00000000" w14:paraId="00000045">
      <w:pP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O gestor público que ignora a não-estacionariedade e a deriva dos extremos oceanográficos assume, por omissão, o risco da falha da infraestrutura estratégica nacional. À luz da Lei de Introdução às Normas do Direito Brasileiro (LINDB), tal omissão pode configurar "erro grosseiro", sujeitando o agente público à responsabilização. Portanto, a transição para uma governança baseada em evidências auditadas não é apenas um refinamento acadêmico, mas um imperativo de </w:t>
      </w:r>
      <w:r w:rsidDel="00000000" w:rsidR="00000000" w:rsidRPr="00000000">
        <w:rPr>
          <w:rFonts w:ascii="Times New Roman" w:cs="Times New Roman" w:eastAsia="Times New Roman" w:hAnsi="Times New Roman"/>
          <w:i w:val="1"/>
          <w:iCs w:val="1"/>
          <w:sz w:val="24"/>
          <w:szCs w:val="24"/>
          <w:rtl w:val="0"/>
        </w:rPr>
        <w:t xml:space="preserve">compliance </w:t>
      </w:r>
      <w:r w:rsidDel="00000000" w:rsidR="00000000" w:rsidRPr="00000000">
        <w:rPr>
          <w:rFonts w:ascii="Times New Roman" w:cs="Times New Roman" w:eastAsia="Times New Roman" w:hAnsi="Times New Roman"/>
          <w:sz w:val="24"/>
          <w:szCs w:val="24"/>
          <w:rtl w:val="0"/>
        </w:rPr>
        <w:t xml:space="preserve">público e transparência administrativa. A auditoria de dados metoceânicos deve ser elevada ao mesmo nível de seriedade e rigor normativo que a auditoria financeira e contábil, servindo como uma blindagem técnica do Estado contra a incerteza climática e garantindo que o desenvolvimento da Amazônia Azul ocorra de forma resiliente e economicamente viável.</w:t>
      </w:r>
      <w:r w:rsidDel="00000000" w:rsidR="00000000" w:rsidRPr="00000000">
        <w:rPr>
          <w:rtl w:val="0"/>
        </w:rPr>
      </w:r>
    </w:p>
    <w:p w:rsidR="00000000" w:rsidDel="00000000" w:rsidP="00000000" w:rsidRDefault="00000000" w:rsidRPr="00000000" w14:paraId="0000004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Brasil assume um protagonismo geopolítico central ao sediar a Conferência da Década do Oceano da Organização das Nações Unidas (ONU) em 2027, no Rio de Janeiro. Este evento não deve ser encarado apenas como uma vitrine diplomática, mas como o marco zero para a apresentação de um novo padrão global de governança marítima baseada na auditoria de premissas. O país detém as condições técnicas e acadêmicas para liderar o Sul Global na proposição de que a "Ciência que Precisamos para o Oceano que Queremos" deve ser, antes de tudo, uma ciência auditada, transparente e soberana (United Nations Educational, Scientific and Cultural Organization, 2021).</w:t>
      </w:r>
    </w:p>
    <w:p w:rsidR="00000000" w:rsidDel="00000000" w:rsidP="00000000" w:rsidRDefault="00000000" w:rsidRPr="00000000" w14:paraId="0000004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considera-se que ao institucionalizar protocolos de verificação estatística independentes, o Brasil emite um sinal inequívoco aos </w:t>
      </w:r>
      <w:r w:rsidDel="00000000" w:rsidR="00000000" w:rsidRPr="00000000">
        <w:rPr>
          <w:rFonts w:ascii="Times New Roman" w:cs="Times New Roman" w:eastAsia="Times New Roman" w:hAnsi="Times New Roman"/>
          <w:i w:val="1"/>
          <w:iCs w:val="1"/>
          <w:sz w:val="24"/>
          <w:szCs w:val="24"/>
          <w:rtl w:val="0"/>
        </w:rPr>
        <w:t xml:space="preserve">stakeholders </w:t>
      </w:r>
      <w:r w:rsidDel="00000000" w:rsidR="00000000" w:rsidRPr="00000000">
        <w:rPr>
          <w:rFonts w:ascii="Times New Roman" w:cs="Times New Roman" w:eastAsia="Times New Roman" w:hAnsi="Times New Roman"/>
          <w:sz w:val="24"/>
          <w:szCs w:val="24"/>
          <w:rtl w:val="0"/>
        </w:rPr>
        <w:t xml:space="preserve">globais e aos investidores estratégicos de que sua </w:t>
      </w:r>
      <w:r w:rsidDel="00000000" w:rsidR="00000000" w:rsidRPr="00000000">
        <w:rPr>
          <w:rFonts w:ascii="Times New Roman" w:cs="Times New Roman" w:eastAsia="Times New Roman" w:hAnsi="Times New Roman"/>
          <w:i w:val="1"/>
          <w:iCs w:val="1"/>
          <w:sz w:val="24"/>
          <w:szCs w:val="24"/>
          <w:rtl w:val="0"/>
        </w:rPr>
        <w:t xml:space="preserve">Blue Economy</w:t>
      </w:r>
      <w:r w:rsidDel="00000000" w:rsidR="00000000" w:rsidRPr="00000000">
        <w:rPr>
          <w:rFonts w:ascii="Times New Roman" w:cs="Times New Roman" w:eastAsia="Times New Roman" w:hAnsi="Times New Roman"/>
          <w:sz w:val="24"/>
          <w:szCs w:val="24"/>
          <w:rtl w:val="0"/>
        </w:rPr>
        <w:t xml:space="preserve"> é segura, previsível e gerida sob o mais alto rigor técnico-forense. O legado que devemos almejar para a Amazônia Azul não reside apenas na proteção ambiental per se, mas na construção de uma robusta segurança jurídica climática, onde o mar deixa de ser uma incerteza geográfica para se tornar um fato estatístico gerenciável. A soberania técnica, fundamentada no rigor matemático e na auditoria contínua, é a garantia final de que o destino do território marítimo brasileiro será desenhado pela inteligência nacional, com base na verdade incontestável dos nossos próprios dados.</w:t>
      </w:r>
    </w:p>
    <w:p w:rsidR="00000000" w:rsidDel="00000000" w:rsidP="00000000" w:rsidRDefault="00000000" w:rsidRPr="00000000" w14:paraId="00000048">
      <w:pPr>
        <w:spacing w:line="360"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9">
      <w:pPr>
        <w:pStyle w:val="Heading2"/>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REFERÊNCIAS</w:t>
      </w:r>
    </w:p>
    <w:p w:rsidR="00000000" w:rsidDel="00000000" w:rsidP="00000000" w:rsidRDefault="00000000" w:rsidRPr="00000000" w14:paraId="000000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ANDRADE, I. O.; ROCHA, A. J. R.; FRANCO, L. G. A. </w:t>
      </w:r>
      <w:r w:rsidDel="00000000" w:rsidR="00000000" w:rsidRPr="00000000">
        <w:rPr>
          <w:rFonts w:ascii="Times New Roman" w:cs="Times New Roman" w:eastAsia="Times New Roman" w:hAnsi="Times New Roman"/>
          <w:i w:val="1"/>
          <w:iCs w:val="1"/>
          <w:sz w:val="24"/>
          <w:szCs w:val="24"/>
          <w:rtl w:val="0"/>
        </w:rPr>
        <w:t xml:space="preserve">Sistema de gerenciamento da Amazônia Azul</w:t>
      </w:r>
      <w:r w:rsidDel="00000000" w:rsidR="00000000" w:rsidRPr="00000000">
        <w:rPr>
          <w:rFonts w:ascii="Times New Roman" w:cs="Times New Roman" w:eastAsia="Times New Roman" w:hAnsi="Times New Roman"/>
          <w:sz w:val="24"/>
          <w:szCs w:val="24"/>
          <w:rtl w:val="0"/>
        </w:rPr>
        <w:t xml:space="preserve">: soberania, vigilância e defesa das águas jurisdicionais brasileiras. Brasília: Ipea, 2019. (Texto para Discussão, 2449). Disponível em: </w:t>
      </w:r>
      <w:hyperlink r:id="rId8">
        <w:r w:rsidDel="00000000" w:rsidR="00000000" w:rsidRPr="00000000">
          <w:rPr>
            <w:rFonts w:ascii="Times New Roman" w:cs="Times New Roman" w:eastAsia="Times New Roman" w:hAnsi="Times New Roman"/>
            <w:sz w:val="24"/>
            <w:szCs w:val="24"/>
            <w:u w:val="single"/>
            <w:rtl w:val="0"/>
          </w:rPr>
          <w:t xml:space="preserve">https://repositorio.ipea.gov.br/handle/11058/9152</w:t>
        </w:r>
      </w:hyperlink>
      <w:r w:rsidDel="00000000" w:rsidR="00000000" w:rsidRPr="00000000">
        <w:rPr>
          <w:rFonts w:ascii="Times New Roman" w:cs="Times New Roman" w:eastAsia="Times New Roman" w:hAnsi="Times New Roman"/>
          <w:sz w:val="24"/>
          <w:szCs w:val="24"/>
          <w:rtl w:val="0"/>
        </w:rPr>
        <w:t xml:space="preserve">. Acesso em: 29 jan. 2026.</w:t>
      </w:r>
    </w:p>
    <w:p w:rsidR="00000000" w:rsidDel="00000000" w:rsidP="00000000" w:rsidRDefault="00000000" w:rsidRPr="00000000" w14:paraId="000000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ASSOCIAÇÃO BRASILEIRA DE NORMAS TÉCNICAS (ABNT). </w:t>
      </w:r>
      <w:r w:rsidDel="00000000" w:rsidR="00000000" w:rsidRPr="00000000">
        <w:rPr>
          <w:rFonts w:ascii="Times New Roman" w:cs="Times New Roman" w:eastAsia="Times New Roman" w:hAnsi="Times New Roman"/>
          <w:i w:val="1"/>
          <w:iCs w:val="1"/>
          <w:sz w:val="24"/>
          <w:szCs w:val="24"/>
          <w:rtl w:val="0"/>
        </w:rPr>
        <w:t xml:space="preserve">NBR 6023</w:t>
      </w:r>
      <w:r w:rsidDel="00000000" w:rsidR="00000000" w:rsidRPr="00000000">
        <w:rPr>
          <w:rFonts w:ascii="Times New Roman" w:cs="Times New Roman" w:eastAsia="Times New Roman" w:hAnsi="Times New Roman"/>
          <w:sz w:val="24"/>
          <w:szCs w:val="24"/>
          <w:rtl w:val="0"/>
        </w:rPr>
        <w:t xml:space="preserve">: informação e documentação: referências. Rio de Janeiro: ABNT, 2018.</w:t>
      </w:r>
    </w:p>
    <w:p w:rsidR="00000000" w:rsidDel="00000000" w:rsidP="00000000" w:rsidRDefault="00000000" w:rsidRPr="00000000" w14:paraId="000000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Lei nº 8.617, de 4 de janeiro de 1993. Dispõe sobre o mar territorial, a zona contígua, a zona econômica exclusiva e a plataforma continental brasileiros e dá outras providências. </w:t>
      </w:r>
      <w:r w:rsidDel="00000000" w:rsidR="00000000" w:rsidRPr="00000000">
        <w:rPr>
          <w:rFonts w:ascii="Times New Roman" w:cs="Times New Roman" w:eastAsia="Times New Roman" w:hAnsi="Times New Roman"/>
          <w:i w:val="1"/>
          <w:iCs w:val="1"/>
          <w:sz w:val="24"/>
          <w:szCs w:val="24"/>
          <w:rtl w:val="0"/>
        </w:rPr>
        <w:t xml:space="preserve">Diário Oficial da União</w:t>
      </w:r>
      <w:r w:rsidDel="00000000" w:rsidR="00000000" w:rsidRPr="00000000">
        <w:rPr>
          <w:rFonts w:ascii="Times New Roman" w:cs="Times New Roman" w:eastAsia="Times New Roman" w:hAnsi="Times New Roman"/>
          <w:sz w:val="24"/>
          <w:szCs w:val="24"/>
          <w:rtl w:val="0"/>
        </w:rPr>
        <w:t xml:space="preserve">: seção 1, Brasília, DF, p. 57, 5 jan. 1993. Disponível em: </w:t>
      </w:r>
      <w:hyperlink r:id="rId9">
        <w:r w:rsidDel="00000000" w:rsidR="00000000" w:rsidRPr="00000000">
          <w:rPr>
            <w:rFonts w:ascii="Times New Roman" w:cs="Times New Roman" w:eastAsia="Times New Roman" w:hAnsi="Times New Roman"/>
            <w:sz w:val="24"/>
            <w:szCs w:val="24"/>
            <w:u w:val="single"/>
            <w:rtl w:val="0"/>
          </w:rPr>
          <w:t xml:space="preserve">http://www.planalto.gov.br/ccivil_03/leis/l8617.htm</w:t>
        </w:r>
      </w:hyperlink>
      <w:r w:rsidDel="00000000" w:rsidR="00000000" w:rsidRPr="00000000">
        <w:rPr>
          <w:rFonts w:ascii="Times New Roman" w:cs="Times New Roman" w:eastAsia="Times New Roman" w:hAnsi="Times New Roman"/>
          <w:sz w:val="24"/>
          <w:szCs w:val="24"/>
          <w:rtl w:val="0"/>
        </w:rPr>
        <w:t xml:space="preserve">. Acesso em: 29 jan. 2026.</w:t>
      </w:r>
    </w:p>
    <w:p w:rsidR="00000000" w:rsidDel="00000000" w:rsidP="00000000" w:rsidRDefault="00000000" w:rsidRPr="00000000" w14:paraId="000000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TRIBUNAL DE CONTAS DA UNIÃO. </w:t>
      </w:r>
      <w:r w:rsidDel="00000000" w:rsidR="00000000" w:rsidRPr="00000000">
        <w:rPr>
          <w:rFonts w:ascii="Times New Roman" w:cs="Times New Roman" w:eastAsia="Times New Roman" w:hAnsi="Times New Roman"/>
          <w:i w:val="1"/>
          <w:iCs w:val="1"/>
          <w:sz w:val="24"/>
          <w:szCs w:val="24"/>
          <w:rtl w:val="0"/>
        </w:rPr>
        <w:t xml:space="preserve">Referencial de combate a fraude e corrupção</w:t>
      </w:r>
      <w:r w:rsidDel="00000000" w:rsidR="00000000" w:rsidRPr="00000000">
        <w:rPr>
          <w:rFonts w:ascii="Times New Roman" w:cs="Times New Roman" w:eastAsia="Times New Roman" w:hAnsi="Times New Roman"/>
          <w:sz w:val="24"/>
          <w:szCs w:val="24"/>
          <w:rtl w:val="0"/>
        </w:rPr>
        <w:t xml:space="preserve">. 2. ed. Brasília: TCU, Secretaria de Planejamento, Governança e Gestão, 2018. Disponível em: </w:t>
      </w:r>
      <w:hyperlink r:id="rId10">
        <w:r w:rsidDel="00000000" w:rsidR="00000000" w:rsidRPr="00000000">
          <w:rPr>
            <w:rFonts w:ascii="Times New Roman" w:cs="Times New Roman" w:eastAsia="Times New Roman" w:hAnsi="Times New Roman"/>
            <w:sz w:val="24"/>
            <w:szCs w:val="24"/>
            <w:u w:val="single"/>
            <w:rtl w:val="0"/>
          </w:rPr>
          <w:t xml:space="preserve">https://portal.tcu.gov.br/lumis/portal/file/fileDownload.jsp?fileId=8A8182A2666699970166C636733267E6</w:t>
        </w:r>
      </w:hyperlink>
      <w:r w:rsidDel="00000000" w:rsidR="00000000" w:rsidRPr="00000000">
        <w:rPr>
          <w:rFonts w:ascii="Times New Roman" w:cs="Times New Roman" w:eastAsia="Times New Roman" w:hAnsi="Times New Roman"/>
          <w:sz w:val="24"/>
          <w:szCs w:val="24"/>
          <w:rtl w:val="0"/>
        </w:rPr>
        <w:t xml:space="preserve">. Acesso em: 29 jan. 2026.</w:t>
      </w:r>
    </w:p>
    <w:p w:rsidR="00000000" w:rsidDel="00000000" w:rsidP="00000000" w:rsidRDefault="00000000" w:rsidRPr="00000000" w14:paraId="000000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BUSH, S. R.; OOSTERVEER, M. S.; BUSH, S. J.; JOLINK, C. M. Governing oceans with data. </w:t>
      </w:r>
      <w:r w:rsidDel="00000000" w:rsidR="00000000" w:rsidRPr="00000000">
        <w:rPr>
          <w:rFonts w:ascii="Times New Roman" w:cs="Times New Roman" w:eastAsia="Times New Roman" w:hAnsi="Times New Roman"/>
          <w:i w:val="1"/>
          <w:iCs w:val="1"/>
          <w:sz w:val="24"/>
          <w:szCs w:val="24"/>
          <w:rtl w:val="0"/>
        </w:rPr>
        <w:t xml:space="preserve">One Earth</w:t>
      </w:r>
      <w:r w:rsidDel="00000000" w:rsidR="00000000" w:rsidRPr="00000000">
        <w:rPr>
          <w:rFonts w:ascii="Times New Roman" w:cs="Times New Roman" w:eastAsia="Times New Roman" w:hAnsi="Times New Roman"/>
          <w:sz w:val="24"/>
          <w:szCs w:val="24"/>
          <w:rtl w:val="0"/>
        </w:rPr>
        <w:t xml:space="preserve">, v. 4, n. 3, p. 309-312, 2021. Disponível em: </w:t>
      </w:r>
      <w:hyperlink r:id="rId11">
        <w:r w:rsidDel="00000000" w:rsidR="00000000" w:rsidRPr="00000000">
          <w:rPr>
            <w:rFonts w:ascii="Times New Roman" w:cs="Times New Roman" w:eastAsia="Times New Roman" w:hAnsi="Times New Roman"/>
            <w:sz w:val="24"/>
            <w:szCs w:val="24"/>
            <w:u w:val="single"/>
            <w:rtl w:val="0"/>
          </w:rPr>
          <w:t xml:space="preserve">https://doi.org/10.1016/j.oneear.2021.02.015</w:t>
        </w:r>
      </w:hyperlink>
      <w:r w:rsidDel="00000000" w:rsidR="00000000" w:rsidRPr="00000000">
        <w:rPr>
          <w:rFonts w:ascii="Times New Roman" w:cs="Times New Roman" w:eastAsia="Times New Roman" w:hAnsi="Times New Roman"/>
          <w:sz w:val="24"/>
          <w:szCs w:val="24"/>
          <w:rtl w:val="0"/>
        </w:rPr>
        <w:t xml:space="preserve">. Acesso em: 29 jan. 2026.</w:t>
      </w:r>
    </w:p>
    <w:p w:rsidR="00000000" w:rsidDel="00000000" w:rsidP="00000000" w:rsidRDefault="00000000" w:rsidRPr="00000000" w14:paraId="000000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COMISSÃO INTERMINISTERIAL PARA OS RECURSOS DO MAR (CIRM). </w:t>
      </w:r>
      <w:r w:rsidDel="00000000" w:rsidR="00000000" w:rsidRPr="00000000">
        <w:rPr>
          <w:rFonts w:ascii="Times New Roman" w:cs="Times New Roman" w:eastAsia="Times New Roman" w:hAnsi="Times New Roman"/>
          <w:i w:val="1"/>
          <w:iCs w:val="1"/>
          <w:sz w:val="24"/>
          <w:szCs w:val="24"/>
          <w:rtl w:val="0"/>
        </w:rPr>
        <w:t xml:space="preserve">Planejamento Espacial Marinho (PEM) do Brasil</w:t>
      </w:r>
      <w:r w:rsidDel="00000000" w:rsidR="00000000" w:rsidRPr="00000000">
        <w:rPr>
          <w:rFonts w:ascii="Times New Roman" w:cs="Times New Roman" w:eastAsia="Times New Roman" w:hAnsi="Times New Roman"/>
          <w:sz w:val="24"/>
          <w:szCs w:val="24"/>
          <w:rtl w:val="0"/>
        </w:rPr>
        <w:t xml:space="preserve">. Brasília: CIRM, 2024. Disponível em: </w:t>
      </w:r>
      <w:hyperlink r:id="rId12">
        <w:r w:rsidDel="00000000" w:rsidR="00000000" w:rsidRPr="00000000">
          <w:rPr>
            <w:rFonts w:ascii="Times New Roman" w:cs="Times New Roman" w:eastAsia="Times New Roman" w:hAnsi="Times New Roman"/>
            <w:sz w:val="24"/>
            <w:szCs w:val="24"/>
            <w:u w:val="single"/>
            <w:rtl w:val="0"/>
          </w:rPr>
          <w:t xml:space="preserve">https://www.marinha.mil.br/secirm/pem</w:t>
        </w:r>
      </w:hyperlink>
      <w:r w:rsidDel="00000000" w:rsidR="00000000" w:rsidRPr="00000000">
        <w:rPr>
          <w:rFonts w:ascii="Times New Roman" w:cs="Times New Roman" w:eastAsia="Times New Roman" w:hAnsi="Times New Roman"/>
          <w:sz w:val="24"/>
          <w:szCs w:val="24"/>
          <w:rtl w:val="0"/>
        </w:rPr>
        <w:t xml:space="preserve">. Acesso em: 29 jan. 2026.</w:t>
      </w:r>
    </w:p>
    <w:p w:rsidR="00000000" w:rsidDel="00000000" w:rsidP="00000000" w:rsidRDefault="00000000" w:rsidRPr="00000000" w14:paraId="000000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COUTURE, S.; TOUPIN, S. What does the concept of ‘sovereignty’ actually do in digital sovereignty? </w:t>
      </w:r>
      <w:r w:rsidDel="00000000" w:rsidR="00000000" w:rsidRPr="00000000">
        <w:rPr>
          <w:rFonts w:ascii="Times New Roman" w:cs="Times New Roman" w:eastAsia="Times New Roman" w:hAnsi="Times New Roman"/>
          <w:i w:val="1"/>
          <w:iCs w:val="1"/>
          <w:sz w:val="24"/>
          <w:szCs w:val="24"/>
          <w:rtl w:val="0"/>
        </w:rPr>
        <w:t xml:space="preserve">New Media &amp; Society</w:t>
      </w:r>
      <w:r w:rsidDel="00000000" w:rsidR="00000000" w:rsidRPr="00000000">
        <w:rPr>
          <w:rFonts w:ascii="Times New Roman" w:cs="Times New Roman" w:eastAsia="Times New Roman" w:hAnsi="Times New Roman"/>
          <w:sz w:val="24"/>
          <w:szCs w:val="24"/>
          <w:rtl w:val="0"/>
        </w:rPr>
        <w:t xml:space="preserve">, v. 21, n. 10, p. 2305-2322, 2019.</w:t>
      </w:r>
    </w:p>
    <w:p w:rsidR="00000000" w:rsidDel="00000000" w:rsidP="00000000" w:rsidRDefault="00000000" w:rsidRPr="00000000" w14:paraId="000000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EHLER, C.; DOUVERE, F. </w:t>
      </w:r>
      <w:r w:rsidDel="00000000" w:rsidR="00000000" w:rsidRPr="00000000">
        <w:rPr>
          <w:rFonts w:ascii="Times New Roman" w:cs="Times New Roman" w:eastAsia="Times New Roman" w:hAnsi="Times New Roman"/>
          <w:i w:val="1"/>
          <w:iCs w:val="1"/>
          <w:sz w:val="24"/>
          <w:szCs w:val="24"/>
          <w:rtl w:val="0"/>
        </w:rPr>
        <w:t xml:space="preserve">Marine Spatial Planning</w:t>
      </w:r>
      <w:r w:rsidDel="00000000" w:rsidR="00000000" w:rsidRPr="00000000">
        <w:rPr>
          <w:rFonts w:ascii="Times New Roman" w:cs="Times New Roman" w:eastAsia="Times New Roman" w:hAnsi="Times New Roman"/>
          <w:sz w:val="24"/>
          <w:szCs w:val="24"/>
          <w:rtl w:val="0"/>
        </w:rPr>
        <w:t xml:space="preserve">: a step-by-step approach toward ecosystem-based management. Paris: UNESCO-IOC, 2009. (IOC Manual and Guides, 53; ICAM Dossier, 6). Disponível em: </w:t>
      </w:r>
      <w:hyperlink r:id="rId13">
        <w:r w:rsidDel="00000000" w:rsidR="00000000" w:rsidRPr="00000000">
          <w:rPr>
            <w:rFonts w:ascii="Times New Roman" w:cs="Times New Roman" w:eastAsia="Times New Roman" w:hAnsi="Times New Roman"/>
            <w:sz w:val="24"/>
            <w:szCs w:val="24"/>
            <w:u w:val="single"/>
            <w:rtl w:val="0"/>
          </w:rPr>
          <w:t xml:space="preserve">https://unesdoc.unesco.org/ark:/48223/pf0000186559</w:t>
        </w:r>
      </w:hyperlink>
      <w:r w:rsidDel="00000000" w:rsidR="00000000" w:rsidRPr="00000000">
        <w:rPr>
          <w:rFonts w:ascii="Times New Roman" w:cs="Times New Roman" w:eastAsia="Times New Roman" w:hAnsi="Times New Roman"/>
          <w:sz w:val="24"/>
          <w:szCs w:val="24"/>
          <w:rtl w:val="0"/>
        </w:rPr>
        <w:t xml:space="preserve">. Acesso em: 29 jan. 2026.</w:t>
      </w:r>
    </w:p>
    <w:p w:rsidR="00000000" w:rsidDel="00000000" w:rsidP="00000000" w:rsidRDefault="00000000" w:rsidRPr="00000000" w14:paraId="000000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FENTON, A. J. (ed.). </w:t>
      </w:r>
      <w:r w:rsidDel="00000000" w:rsidR="00000000" w:rsidRPr="00000000">
        <w:rPr>
          <w:rFonts w:ascii="Times New Roman" w:cs="Times New Roman" w:eastAsia="Times New Roman" w:hAnsi="Times New Roman"/>
          <w:i w:val="1"/>
          <w:iCs w:val="1"/>
          <w:sz w:val="24"/>
          <w:szCs w:val="24"/>
          <w:rtl w:val="0"/>
        </w:rPr>
        <w:t xml:space="preserve">Rethinking Sovereignty and Security at the Maritime Frontier</w:t>
      </w:r>
      <w:r w:rsidDel="00000000" w:rsidR="00000000" w:rsidRPr="00000000">
        <w:rPr>
          <w:rFonts w:ascii="Times New Roman" w:cs="Times New Roman" w:eastAsia="Times New Roman" w:hAnsi="Times New Roman"/>
          <w:sz w:val="24"/>
          <w:szCs w:val="24"/>
          <w:rtl w:val="0"/>
        </w:rPr>
        <w:t xml:space="preserve">: Pirates, Proxies, Passwords and Pipelines. Coventry: Centre for Trust, Peace and Social Relations, Coventry University, 2024.</w:t>
      </w:r>
    </w:p>
    <w:p w:rsidR="00000000" w:rsidDel="00000000" w:rsidP="00000000" w:rsidRDefault="00000000" w:rsidRPr="00000000" w14:paraId="000000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GANDRA, T. B. R. </w:t>
      </w:r>
      <w:r w:rsidDel="00000000" w:rsidR="00000000" w:rsidRPr="00000000">
        <w:rPr>
          <w:rFonts w:ascii="Times New Roman" w:cs="Times New Roman" w:eastAsia="Times New Roman" w:hAnsi="Times New Roman"/>
          <w:i w:val="1"/>
          <w:iCs w:val="1"/>
          <w:sz w:val="24"/>
          <w:szCs w:val="24"/>
          <w:rtl w:val="0"/>
        </w:rPr>
        <w:t xml:space="preserve">Diretrizes metodológicas para o planejamento espacial marinho (PEM) no Brasil</w:t>
      </w:r>
      <w:r w:rsidDel="00000000" w:rsidR="00000000" w:rsidRPr="00000000">
        <w:rPr>
          <w:rFonts w:ascii="Times New Roman" w:cs="Times New Roman" w:eastAsia="Times New Roman" w:hAnsi="Times New Roman"/>
          <w:sz w:val="24"/>
          <w:szCs w:val="24"/>
          <w:rtl w:val="0"/>
        </w:rPr>
        <w:t xml:space="preserve">. 2021. Tese (Doutorado em Geografia) – Universidade Federal de Santa Catarina, Florianópolis, 2021. Disponível em: </w:t>
      </w:r>
      <w:hyperlink r:id="rId14">
        <w:r w:rsidDel="00000000" w:rsidR="00000000" w:rsidRPr="00000000">
          <w:rPr>
            <w:rFonts w:ascii="Times New Roman" w:cs="Times New Roman" w:eastAsia="Times New Roman" w:hAnsi="Times New Roman"/>
            <w:sz w:val="24"/>
            <w:szCs w:val="24"/>
            <w:u w:val="single"/>
            <w:rtl w:val="0"/>
          </w:rPr>
          <w:t xml:space="preserve">https://repositorio.ufsc.br/handle/123456789/216369</w:t>
        </w:r>
      </w:hyperlink>
      <w:r w:rsidDel="00000000" w:rsidR="00000000" w:rsidRPr="00000000">
        <w:rPr>
          <w:rFonts w:ascii="Times New Roman" w:cs="Times New Roman" w:eastAsia="Times New Roman" w:hAnsi="Times New Roman"/>
          <w:sz w:val="24"/>
          <w:szCs w:val="24"/>
          <w:rtl w:val="0"/>
        </w:rPr>
        <w:t xml:space="preserve">. Acesso em: 29 jan. 2026.</w:t>
      </w:r>
    </w:p>
    <w:p w:rsidR="00000000" w:rsidDel="00000000" w:rsidP="00000000" w:rsidRDefault="00000000" w:rsidRPr="00000000" w14:paraId="000000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GASTWIRTH, J. L. </w:t>
      </w:r>
      <w:r w:rsidDel="00000000" w:rsidR="00000000" w:rsidRPr="00000000">
        <w:rPr>
          <w:rFonts w:ascii="Times New Roman" w:cs="Times New Roman" w:eastAsia="Times New Roman" w:hAnsi="Times New Roman"/>
          <w:i w:val="1"/>
          <w:iCs w:val="1"/>
          <w:sz w:val="24"/>
          <w:szCs w:val="24"/>
          <w:rtl w:val="0"/>
        </w:rPr>
        <w:t xml:space="preserve">Statistical reasoning in law and public policy</w:t>
      </w:r>
      <w:r w:rsidDel="00000000" w:rsidR="00000000" w:rsidRPr="00000000">
        <w:rPr>
          <w:rFonts w:ascii="Times New Roman" w:cs="Times New Roman" w:eastAsia="Times New Roman" w:hAnsi="Times New Roman"/>
          <w:sz w:val="24"/>
          <w:szCs w:val="24"/>
          <w:rtl w:val="0"/>
        </w:rPr>
        <w:t xml:space="preserve">. San Diego: Academic Press, 1988.</w:t>
      </w:r>
    </w:p>
    <w:p w:rsidR="00000000" w:rsidDel="00000000" w:rsidP="00000000" w:rsidRDefault="00000000" w:rsidRPr="00000000" w14:paraId="0000005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INTERGOVERNMENTAL PANEL ON CLIMATE CHANGE (IPCC). </w:t>
      </w:r>
      <w:r w:rsidDel="00000000" w:rsidR="00000000" w:rsidRPr="00000000">
        <w:rPr>
          <w:rFonts w:ascii="Times New Roman" w:cs="Times New Roman" w:eastAsia="Times New Roman" w:hAnsi="Times New Roman"/>
          <w:i w:val="1"/>
          <w:iCs w:val="1"/>
          <w:sz w:val="24"/>
          <w:szCs w:val="24"/>
          <w:rtl w:val="0"/>
        </w:rPr>
        <w:t xml:space="preserve">Climate Change 2021</w:t>
      </w:r>
      <w:r w:rsidDel="00000000" w:rsidR="00000000" w:rsidRPr="00000000">
        <w:rPr>
          <w:rFonts w:ascii="Times New Roman" w:cs="Times New Roman" w:eastAsia="Times New Roman" w:hAnsi="Times New Roman"/>
          <w:sz w:val="24"/>
          <w:szCs w:val="24"/>
          <w:rtl w:val="0"/>
        </w:rPr>
        <w:t xml:space="preserve">: The Physical Science Basis. Cambridge: Cambridge University Press, 2021. Disponível em: </w:t>
      </w:r>
      <w:hyperlink r:id="rId15">
        <w:r w:rsidDel="00000000" w:rsidR="00000000" w:rsidRPr="00000000">
          <w:rPr>
            <w:rFonts w:ascii="Times New Roman" w:cs="Times New Roman" w:eastAsia="Times New Roman" w:hAnsi="Times New Roman"/>
            <w:sz w:val="24"/>
            <w:szCs w:val="24"/>
            <w:u w:val="single"/>
            <w:rtl w:val="0"/>
          </w:rPr>
          <w:t xml:space="preserve">https://www.ipcc.ch/report/ar6/wg1/</w:t>
        </w:r>
      </w:hyperlink>
      <w:r w:rsidDel="00000000" w:rsidR="00000000" w:rsidRPr="00000000">
        <w:rPr>
          <w:rFonts w:ascii="Times New Roman" w:cs="Times New Roman" w:eastAsia="Times New Roman" w:hAnsi="Times New Roman"/>
          <w:sz w:val="24"/>
          <w:szCs w:val="24"/>
          <w:rtl w:val="0"/>
        </w:rPr>
        <w:t xml:space="preserve">. Acesso em: 29 jan. 2026.</w:t>
      </w:r>
    </w:p>
    <w:p w:rsidR="00000000" w:rsidDel="00000000" w:rsidP="00000000" w:rsidRDefault="00000000" w:rsidRPr="00000000" w14:paraId="000000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INSTITUTO DE PESQUISA ECONÔMICA APLICADA (IPEA). </w:t>
      </w:r>
      <w:r w:rsidDel="00000000" w:rsidR="00000000" w:rsidRPr="00000000">
        <w:rPr>
          <w:rFonts w:ascii="Times New Roman" w:cs="Times New Roman" w:eastAsia="Times New Roman" w:hAnsi="Times New Roman"/>
          <w:i w:val="1"/>
          <w:iCs w:val="1"/>
          <w:sz w:val="24"/>
          <w:szCs w:val="24"/>
          <w:rtl w:val="0"/>
        </w:rPr>
        <w:t xml:space="preserve">Planejamento espacial marinho como ferramenta de gestão de política pública para a Amazônia Azul</w:t>
      </w:r>
      <w:r w:rsidDel="00000000" w:rsidR="00000000" w:rsidRPr="00000000">
        <w:rPr>
          <w:rFonts w:ascii="Times New Roman" w:cs="Times New Roman" w:eastAsia="Times New Roman" w:hAnsi="Times New Roman"/>
          <w:sz w:val="24"/>
          <w:szCs w:val="24"/>
          <w:rtl w:val="0"/>
        </w:rPr>
        <w:t xml:space="preserve">. Brasília: Ipea, 2020. (Nota Técnica, 26). Disponível em: </w:t>
      </w:r>
      <w:hyperlink r:id="rId16">
        <w:r w:rsidDel="00000000" w:rsidR="00000000" w:rsidRPr="00000000">
          <w:rPr>
            <w:rFonts w:ascii="Times New Roman" w:cs="Times New Roman" w:eastAsia="Times New Roman" w:hAnsi="Times New Roman"/>
            <w:sz w:val="24"/>
            <w:szCs w:val="24"/>
            <w:u w:val="single"/>
            <w:rtl w:val="0"/>
          </w:rPr>
          <w:t xml:space="preserve">https://repositorio.ipea.gov.br/handle/11058/9658</w:t>
        </w:r>
      </w:hyperlink>
      <w:r w:rsidDel="00000000" w:rsidR="00000000" w:rsidRPr="00000000">
        <w:rPr>
          <w:rFonts w:ascii="Times New Roman" w:cs="Times New Roman" w:eastAsia="Times New Roman" w:hAnsi="Times New Roman"/>
          <w:sz w:val="24"/>
          <w:szCs w:val="24"/>
          <w:rtl w:val="0"/>
        </w:rPr>
        <w:t xml:space="preserve">. Acesso em: 29 jan. 2026.</w:t>
      </w:r>
    </w:p>
    <w:p w:rsidR="00000000" w:rsidDel="00000000" w:rsidP="00000000" w:rsidRDefault="00000000" w:rsidRPr="00000000" w14:paraId="0000005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ORGANIZATION FOR STANDARDIZATION (ISO). </w:t>
      </w:r>
      <w:r w:rsidDel="00000000" w:rsidR="00000000" w:rsidRPr="00000000">
        <w:rPr>
          <w:rFonts w:ascii="Times New Roman" w:cs="Times New Roman" w:eastAsia="Times New Roman" w:hAnsi="Times New Roman"/>
          <w:i w:val="1"/>
          <w:iCs w:val="1"/>
          <w:sz w:val="24"/>
          <w:szCs w:val="24"/>
          <w:rtl w:val="0"/>
        </w:rPr>
        <w:t xml:space="preserve">ISO 8000-1:2022</w:t>
      </w:r>
      <w:r w:rsidDel="00000000" w:rsidR="00000000" w:rsidRPr="00000000">
        <w:rPr>
          <w:rFonts w:ascii="Times New Roman" w:cs="Times New Roman" w:eastAsia="Times New Roman" w:hAnsi="Times New Roman"/>
          <w:sz w:val="24"/>
          <w:szCs w:val="24"/>
          <w:rtl w:val="0"/>
        </w:rPr>
        <w:t xml:space="preserve">: Data quality — Part 1: Overview. Genebra: ISO, 2022.</w:t>
      </w:r>
    </w:p>
    <w:p w:rsidR="00000000" w:rsidDel="00000000" w:rsidP="00000000" w:rsidRDefault="00000000" w:rsidRPr="00000000" w14:paraId="000000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KITCHIN, R. </w:t>
      </w:r>
      <w:r w:rsidDel="00000000" w:rsidR="00000000" w:rsidRPr="00000000">
        <w:rPr>
          <w:rFonts w:ascii="Times New Roman" w:cs="Times New Roman" w:eastAsia="Times New Roman" w:hAnsi="Times New Roman"/>
          <w:i w:val="1"/>
          <w:iCs w:val="1"/>
          <w:sz w:val="24"/>
          <w:szCs w:val="24"/>
          <w:rtl w:val="0"/>
        </w:rPr>
        <w:t xml:space="preserve">The data revolution</w:t>
      </w:r>
      <w:r w:rsidDel="00000000" w:rsidR="00000000" w:rsidRPr="00000000">
        <w:rPr>
          <w:rFonts w:ascii="Times New Roman" w:cs="Times New Roman" w:eastAsia="Times New Roman" w:hAnsi="Times New Roman"/>
          <w:sz w:val="24"/>
          <w:szCs w:val="24"/>
          <w:rtl w:val="0"/>
        </w:rPr>
        <w:t xml:space="preserve">: big data, open data, data infrastructures and their consequences. Londres: Sage, 2014.</w:t>
      </w:r>
    </w:p>
    <w:p w:rsidR="00000000" w:rsidDel="00000000" w:rsidP="00000000" w:rsidRDefault="00000000" w:rsidRPr="00000000" w14:paraId="000000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MILLY, P. C. D.; BETANCOURT, J.; FALKENMARK, M.; HIRSCH, R. M.; KUNDZEWICZ, Z. W.; LETTENMAIER, D. P.; STOUFFER, R. J. Stationarity is dead: whither water management? </w:t>
      </w:r>
      <w:r w:rsidDel="00000000" w:rsidR="00000000" w:rsidRPr="00000000">
        <w:rPr>
          <w:rFonts w:ascii="Times New Roman" w:cs="Times New Roman" w:eastAsia="Times New Roman" w:hAnsi="Times New Roman"/>
          <w:i w:val="1"/>
          <w:iCs w:val="1"/>
          <w:sz w:val="24"/>
          <w:szCs w:val="24"/>
          <w:rtl w:val="0"/>
        </w:rPr>
        <w:t xml:space="preserve">Science</w:t>
      </w:r>
      <w:r w:rsidDel="00000000" w:rsidR="00000000" w:rsidRPr="00000000">
        <w:rPr>
          <w:rFonts w:ascii="Times New Roman" w:cs="Times New Roman" w:eastAsia="Times New Roman" w:hAnsi="Times New Roman"/>
          <w:sz w:val="24"/>
          <w:szCs w:val="24"/>
          <w:rtl w:val="0"/>
        </w:rPr>
        <w:t xml:space="preserve">, v. 319, n. 5863, p. 573-574, 2008.</w:t>
      </w:r>
    </w:p>
    <w:p w:rsidR="00000000" w:rsidDel="00000000" w:rsidP="00000000" w:rsidRDefault="00000000" w:rsidRPr="00000000" w14:paraId="000000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MORGAN, J. Maritime Domain Awareness: the key to maritime security. </w:t>
      </w:r>
      <w:r w:rsidDel="00000000" w:rsidR="00000000" w:rsidRPr="00000000">
        <w:rPr>
          <w:rFonts w:ascii="Times New Roman" w:cs="Times New Roman" w:eastAsia="Times New Roman" w:hAnsi="Times New Roman"/>
          <w:i w:val="1"/>
          <w:iCs w:val="1"/>
          <w:sz w:val="24"/>
          <w:szCs w:val="24"/>
          <w:rtl w:val="0"/>
        </w:rPr>
        <w:t xml:space="preserve">Naval War College Review</w:t>
      </w:r>
      <w:r w:rsidDel="00000000" w:rsidR="00000000" w:rsidRPr="00000000">
        <w:rPr>
          <w:rFonts w:ascii="Times New Roman" w:cs="Times New Roman" w:eastAsia="Times New Roman" w:hAnsi="Times New Roman"/>
          <w:sz w:val="24"/>
          <w:szCs w:val="24"/>
          <w:rtl w:val="0"/>
        </w:rPr>
        <w:t xml:space="preserve">, v. 63, n. 4, art. 12, 2010.</w:t>
      </w:r>
    </w:p>
    <w:p w:rsidR="00000000" w:rsidDel="00000000" w:rsidP="00000000" w:rsidRDefault="00000000" w:rsidRPr="00000000" w14:paraId="0000005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POWER, M. </w:t>
      </w:r>
      <w:r w:rsidDel="00000000" w:rsidR="00000000" w:rsidRPr="00000000">
        <w:rPr>
          <w:rFonts w:ascii="Times New Roman" w:cs="Times New Roman" w:eastAsia="Times New Roman" w:hAnsi="Times New Roman"/>
          <w:i w:val="1"/>
          <w:iCs w:val="1"/>
          <w:sz w:val="24"/>
          <w:szCs w:val="24"/>
          <w:rtl w:val="0"/>
        </w:rPr>
        <w:t xml:space="preserve">The audit society</w:t>
      </w:r>
      <w:r w:rsidDel="00000000" w:rsidR="00000000" w:rsidRPr="00000000">
        <w:rPr>
          <w:rFonts w:ascii="Times New Roman" w:cs="Times New Roman" w:eastAsia="Times New Roman" w:hAnsi="Times New Roman"/>
          <w:sz w:val="24"/>
          <w:szCs w:val="24"/>
          <w:rtl w:val="0"/>
        </w:rPr>
        <w:t xml:space="preserve">: rituals of verification. Oxford: Oxford University Press, 1997.</w:t>
      </w:r>
    </w:p>
    <w:p w:rsidR="00000000" w:rsidDel="00000000" w:rsidP="00000000" w:rsidRDefault="00000000" w:rsidRPr="00000000" w14:paraId="000000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SALOMON, M.; MARKUS, T. The precautionary principle in the Anthropocene: an ocean governance perspective. </w:t>
      </w:r>
      <w:r w:rsidDel="00000000" w:rsidR="00000000" w:rsidRPr="00000000">
        <w:rPr>
          <w:rFonts w:ascii="Times New Roman" w:cs="Times New Roman" w:eastAsia="Times New Roman" w:hAnsi="Times New Roman"/>
          <w:i w:val="1"/>
          <w:iCs w:val="1"/>
          <w:sz w:val="24"/>
          <w:szCs w:val="24"/>
          <w:rtl w:val="0"/>
        </w:rPr>
        <w:t xml:space="preserve">Marine Policy</w:t>
      </w:r>
      <w:r w:rsidDel="00000000" w:rsidR="00000000" w:rsidRPr="00000000">
        <w:rPr>
          <w:rFonts w:ascii="Times New Roman" w:cs="Times New Roman" w:eastAsia="Times New Roman" w:hAnsi="Times New Roman"/>
          <w:sz w:val="24"/>
          <w:szCs w:val="24"/>
          <w:rtl w:val="0"/>
        </w:rPr>
        <w:t xml:space="preserve">, v. 114, 103811, 2020.</w:t>
      </w:r>
    </w:p>
    <w:p w:rsidR="00000000" w:rsidDel="00000000" w:rsidP="00000000" w:rsidRDefault="00000000" w:rsidRPr="00000000" w14:paraId="0000005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SANTOS, M. </w:t>
      </w:r>
      <w:r w:rsidDel="00000000" w:rsidR="00000000" w:rsidRPr="00000000">
        <w:rPr>
          <w:rFonts w:ascii="Times New Roman" w:cs="Times New Roman" w:eastAsia="Times New Roman" w:hAnsi="Times New Roman"/>
          <w:i w:val="1"/>
          <w:iCs w:val="1"/>
          <w:sz w:val="24"/>
          <w:szCs w:val="24"/>
          <w:rtl w:val="0"/>
        </w:rPr>
        <w:t xml:space="preserve">A natureza do espaço</w:t>
      </w:r>
      <w:r w:rsidDel="00000000" w:rsidR="00000000" w:rsidRPr="00000000">
        <w:rPr>
          <w:rFonts w:ascii="Times New Roman" w:cs="Times New Roman" w:eastAsia="Times New Roman" w:hAnsi="Times New Roman"/>
          <w:sz w:val="24"/>
          <w:szCs w:val="24"/>
          <w:rtl w:val="0"/>
        </w:rPr>
        <w:t xml:space="preserve">: técnica e tempo, razão e emoção. São Paulo: Hucitec, 1996.</w:t>
      </w:r>
    </w:p>
    <w:p w:rsidR="00000000" w:rsidDel="00000000" w:rsidP="00000000" w:rsidRDefault="00000000" w:rsidRPr="00000000" w14:paraId="000000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SETIAWAN, I.; NARAHARA, Y.; SUSETO, B.; ALAM, W. Maritime Domain Awareness (MDA) and archives: the role of archives in sovereignty. In: </w:t>
      </w:r>
      <w:r w:rsidDel="00000000" w:rsidR="00000000" w:rsidRPr="00000000">
        <w:rPr>
          <w:rFonts w:ascii="Times New Roman" w:cs="Times New Roman" w:eastAsia="Times New Roman" w:hAnsi="Times New Roman"/>
          <w:i w:val="1"/>
          <w:iCs w:val="1"/>
          <w:sz w:val="24"/>
          <w:szCs w:val="24"/>
          <w:rtl w:val="0"/>
        </w:rPr>
        <w:t xml:space="preserve">ICoAS Proceedings</w:t>
      </w:r>
      <w:r w:rsidDel="00000000" w:rsidR="00000000" w:rsidRPr="00000000">
        <w:rPr>
          <w:rFonts w:ascii="Times New Roman" w:cs="Times New Roman" w:eastAsia="Times New Roman" w:hAnsi="Times New Roman"/>
          <w:sz w:val="24"/>
          <w:szCs w:val="24"/>
          <w:rtl w:val="0"/>
        </w:rPr>
        <w:t xml:space="preserve">. [S.l.: s.n.], 2024.</w:t>
      </w:r>
    </w:p>
    <w:p w:rsidR="00000000" w:rsidDel="00000000" w:rsidP="00000000" w:rsidRDefault="00000000" w:rsidRPr="00000000" w14:paraId="000000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SILVA, A. J. R.; ANDRADE, I. O.; ROCHA, A. J. R.; FRANCO, L. G. A. Amazônia Azul: a nova geopolítica brasileira no século XXI. </w:t>
      </w:r>
      <w:r w:rsidDel="00000000" w:rsidR="00000000" w:rsidRPr="00000000">
        <w:rPr>
          <w:rFonts w:ascii="Times New Roman" w:cs="Times New Roman" w:eastAsia="Times New Roman" w:hAnsi="Times New Roman"/>
          <w:i w:val="1"/>
          <w:iCs w:val="1"/>
          <w:sz w:val="24"/>
          <w:szCs w:val="24"/>
          <w:rtl w:val="0"/>
        </w:rPr>
        <w:t xml:space="preserve">Revista da Escola de Guerra Naval</w:t>
      </w:r>
      <w:r w:rsidDel="00000000" w:rsidR="00000000" w:rsidRPr="00000000">
        <w:rPr>
          <w:rFonts w:ascii="Times New Roman" w:cs="Times New Roman" w:eastAsia="Times New Roman" w:hAnsi="Times New Roman"/>
          <w:sz w:val="24"/>
          <w:szCs w:val="24"/>
          <w:rtl w:val="0"/>
        </w:rPr>
        <w:t xml:space="preserve">, Rio de Janeiro, n. 14, p. 7-36, 2009. Disponível em: </w:t>
      </w:r>
      <w:hyperlink r:id="rId17">
        <w:r w:rsidDel="00000000" w:rsidR="00000000" w:rsidRPr="00000000">
          <w:rPr>
            <w:rFonts w:ascii="Times New Roman" w:cs="Times New Roman" w:eastAsia="Times New Roman" w:hAnsi="Times New Roman"/>
            <w:sz w:val="24"/>
            <w:szCs w:val="24"/>
            <w:u w:val="single"/>
            <w:rtl w:val="0"/>
          </w:rPr>
          <w:t xml:space="preserve">https://revista.egn.mar.mil.br/index.php/revistadaegn/article/view/14</w:t>
        </w:r>
      </w:hyperlink>
      <w:r w:rsidDel="00000000" w:rsidR="00000000" w:rsidRPr="00000000">
        <w:rPr>
          <w:rFonts w:ascii="Times New Roman" w:cs="Times New Roman" w:eastAsia="Times New Roman" w:hAnsi="Times New Roman"/>
          <w:sz w:val="24"/>
          <w:szCs w:val="24"/>
          <w:rtl w:val="0"/>
        </w:rPr>
        <w:t xml:space="preserve">. Acesso em: 29 jan. 2026.</w:t>
      </w:r>
    </w:p>
    <w:p w:rsidR="00000000" w:rsidDel="00000000" w:rsidP="00000000" w:rsidRDefault="00000000" w:rsidRPr="00000000" w14:paraId="000000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NATIONS EDUCATIONAL, SCIENTIFIC AND CULTURAL ORGANIZATION</w:t>
      </w:r>
      <w:r w:rsidDel="00000000" w:rsidR="00000000" w:rsidRPr="00000000">
        <w:rPr>
          <w:rFonts w:ascii="Times New Roman" w:cs="Times New Roman" w:eastAsia="Times New Roman" w:hAnsi="Times New Roman"/>
          <w:sz w:val="24"/>
          <w:szCs w:val="24"/>
          <w:rtl w:val="0"/>
        </w:rPr>
        <w:t xml:space="preserve"> (UNESCO). </w:t>
      </w:r>
      <w:r w:rsidDel="00000000" w:rsidR="00000000" w:rsidRPr="00000000">
        <w:rPr>
          <w:rFonts w:ascii="Times New Roman" w:cs="Times New Roman" w:eastAsia="Times New Roman" w:hAnsi="Times New Roman"/>
          <w:sz w:val="24"/>
          <w:szCs w:val="24"/>
          <w:rtl w:val="0"/>
        </w:rPr>
        <w:t xml:space="preserve">Intergovernmental Oceanographic Commission (</w:t>
      </w:r>
      <w:r w:rsidDel="00000000" w:rsidR="00000000" w:rsidRPr="00000000">
        <w:rPr>
          <w:rFonts w:ascii="Times New Roman" w:cs="Times New Roman" w:eastAsia="Times New Roman" w:hAnsi="Times New Roman"/>
          <w:i w:val="1"/>
          <w:iCs w:val="1"/>
          <w:sz w:val="24"/>
          <w:szCs w:val="24"/>
          <w:rtl w:val="0"/>
        </w:rPr>
        <w:t xml:space="preserve">IOC</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The United Nations Decade of Ocean Science for Sustainable Development (2021-2030) Implementation Plan</w:t>
      </w:r>
      <w:r w:rsidDel="00000000" w:rsidR="00000000" w:rsidRPr="00000000">
        <w:rPr>
          <w:rFonts w:ascii="Times New Roman" w:cs="Times New Roman" w:eastAsia="Times New Roman" w:hAnsi="Times New Roman"/>
          <w:sz w:val="24"/>
          <w:szCs w:val="24"/>
          <w:rtl w:val="0"/>
        </w:rPr>
        <w:t xml:space="preserve">. Paris: UNESCO, 2021. (IOC Ocean Decade Series, 20). Disponível em: </w:t>
      </w:r>
      <w:hyperlink r:id="rId18">
        <w:r w:rsidDel="00000000" w:rsidR="00000000" w:rsidRPr="00000000">
          <w:rPr>
            <w:rFonts w:ascii="Times New Roman" w:cs="Times New Roman" w:eastAsia="Times New Roman" w:hAnsi="Times New Roman"/>
            <w:sz w:val="24"/>
            <w:szCs w:val="24"/>
            <w:u w:val="single"/>
            <w:rtl w:val="0"/>
          </w:rPr>
          <w:t xml:space="preserve">https://unesdoc.unesco.org/ark:/48223/pf0000377082</w:t>
        </w:r>
      </w:hyperlink>
      <w:r w:rsidDel="00000000" w:rsidR="00000000" w:rsidRPr="00000000">
        <w:rPr>
          <w:rFonts w:ascii="Times New Roman" w:cs="Times New Roman" w:eastAsia="Times New Roman" w:hAnsi="Times New Roman"/>
          <w:sz w:val="24"/>
          <w:szCs w:val="24"/>
          <w:rtl w:val="0"/>
        </w:rPr>
        <w:t xml:space="preserve">. Acesso em: 29 jan. 2026.</w:t>
      </w:r>
    </w:p>
    <w:sectPr>
      <w:pgSz w:h="16838" w:w="11906" w:orient="portrait"/>
      <w:pgMar w:bottom="1134" w:top="1701"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1">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Doutorando em Estudos Marítimos (EGN) e Mestre pela PUC-Rio e TU Braunschweig (Alemanha). Possui qualificação técnica para Perícia Judicial Ambiental e é pesquisador do GEM. É criador das metodologias proprietárias FARO e ASAM (INPI), focadas em auditoria forense e risco operacional offshore frente a mudanças meteoceanográficas. Coordena o projeto Mentalidade Marítima e edita a publicação técnica IMEC PortoHUB.</w:t>
      </w:r>
    </w:p>
    <w:p w:rsidR="00000000" w:rsidDel="00000000" w:rsidP="00000000" w:rsidRDefault="00000000" w:rsidRPr="00000000" w14:paraId="00000062">
      <w:pPr>
        <w:spacing w:after="0" w:line="240" w:lineRule="auto"/>
        <w:rPr>
          <w:sz w:val="20"/>
          <w:szCs w:val="20"/>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Ttulo7">
    <w:name w:val="heading 7"/>
    <w:basedOn w:val="Normal"/>
    <w:next w:val="Normal"/>
    <w:link w:val="Ttulo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Ttulo8">
    <w:name w:val="heading 8"/>
    <w:basedOn w:val="Normal"/>
    <w:next w:val="Normal"/>
    <w:link w:val="Ttulo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Ttulo9">
    <w:name w:val="heading 9"/>
    <w:basedOn w:val="Normal"/>
    <w:next w:val="Normal"/>
    <w:link w:val="Ttulo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E618BF"/>
    <w:pPr>
      <w:tabs>
        <w:tab w:val="center" w:pos="4680"/>
        <w:tab w:val="right" w:pos="9360"/>
      </w:tabs>
      <w:spacing w:after="0" w:line="240" w:lineRule="auto"/>
    </w:pPr>
  </w:style>
  <w:style w:type="character" w:styleId="CabealhoChar" w:customStyle="1">
    <w:name w:val="Cabeçalho Char"/>
    <w:basedOn w:val="Fontepargpadro"/>
    <w:link w:val="Cabealho"/>
    <w:uiPriority w:val="99"/>
    <w:rsid w:val="00E618BF"/>
  </w:style>
  <w:style w:type="paragraph" w:styleId="Rodap">
    <w:name w:val="footer"/>
    <w:basedOn w:val="Normal"/>
    <w:link w:val="RodapChar"/>
    <w:uiPriority w:val="99"/>
    <w:unhideWhenUsed w:val="1"/>
    <w:rsid w:val="00E618BF"/>
    <w:pPr>
      <w:tabs>
        <w:tab w:val="center" w:pos="4680"/>
        <w:tab w:val="right" w:pos="9360"/>
      </w:tabs>
      <w:spacing w:after="0" w:line="240" w:lineRule="auto"/>
    </w:pPr>
  </w:style>
  <w:style w:type="character" w:styleId="RodapChar" w:customStyle="1">
    <w:name w:val="Rodapé Char"/>
    <w:basedOn w:val="Fontepargpadro"/>
    <w:link w:val="Rodap"/>
    <w:uiPriority w:val="99"/>
    <w:rsid w:val="00E618BF"/>
  </w:style>
  <w:style w:type="paragraph" w:styleId="SemEspaamento">
    <w:name w:val="No Spacing"/>
    <w:uiPriority w:val="1"/>
    <w:qFormat w:val="1"/>
    <w:rsid w:val="00FC693F"/>
    <w:pPr>
      <w:spacing w:after="0" w:line="240" w:lineRule="auto"/>
    </w:pPr>
  </w:style>
  <w:style w:type="character" w:styleId="Ttulo1Char" w:customStyle="1">
    <w:name w:val="Título 1 Char"/>
    <w:basedOn w:val="Fontepargpadro"/>
    <w:link w:val="Ttulo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Ttulo2Char" w:customStyle="1">
    <w:name w:val="Título 2 Char"/>
    <w:basedOn w:val="Fontepargpadro"/>
    <w:link w:val="Ttulo2"/>
    <w:uiPriority w:val="9"/>
    <w:rsid w:val="00FC693F"/>
    <w:rPr>
      <w:rFonts w:asciiTheme="majorHAnsi" w:cstheme="majorBidi" w:eastAsiaTheme="majorEastAsia" w:hAnsiTheme="majorHAnsi"/>
      <w:b w:val="1"/>
      <w:bCs w:val="1"/>
      <w:color w:val="4f81bd" w:themeColor="accent1"/>
      <w:sz w:val="26"/>
      <w:szCs w:val="26"/>
    </w:rPr>
  </w:style>
  <w:style w:type="character" w:styleId="Ttulo3Char" w:customStyle="1">
    <w:name w:val="Título 3 Char"/>
    <w:basedOn w:val="Fontepargpadro"/>
    <w:link w:val="Ttulo3"/>
    <w:uiPriority w:val="9"/>
    <w:rsid w:val="00FC693F"/>
    <w:rPr>
      <w:rFonts w:asciiTheme="majorHAnsi" w:cstheme="majorBidi" w:eastAsiaTheme="majorEastAsia" w:hAnsiTheme="majorHAnsi"/>
      <w:b w:val="1"/>
      <w:bCs w:val="1"/>
      <w:color w:val="4f81bd" w:themeColor="accent1"/>
    </w:rPr>
  </w:style>
  <w:style w:type="character" w:styleId="TtuloChar" w:customStyle="1">
    <w:name w:val="Título Char"/>
    <w:basedOn w:val="Fontepargpadro"/>
    <w:link w:val="Ttulo"/>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tuloChar" w:customStyle="1">
    <w:name w:val="Subtítulo Char"/>
    <w:basedOn w:val="Fontepargpadro"/>
    <w:link w:val="Subttulo"/>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PargrafodaLista">
    <w:name w:val="List Paragraph"/>
    <w:basedOn w:val="Normal"/>
    <w:uiPriority w:val="34"/>
    <w:qFormat w:val="1"/>
    <w:rsid w:val="00FC693F"/>
    <w:pPr>
      <w:ind w:left="720"/>
      <w:contextualSpacing w:val="1"/>
    </w:pPr>
  </w:style>
  <w:style w:type="paragraph" w:styleId="Corpodetexto">
    <w:name w:val="Body Text"/>
    <w:basedOn w:val="Normal"/>
    <w:link w:val="CorpodetextoChar"/>
    <w:uiPriority w:val="99"/>
    <w:unhideWhenUsed w:val="1"/>
    <w:rsid w:val="00AA1D8D"/>
    <w:pPr>
      <w:spacing w:after="120"/>
    </w:pPr>
  </w:style>
  <w:style w:type="character" w:styleId="CorpodetextoChar" w:customStyle="1">
    <w:name w:val="Corpo de texto Char"/>
    <w:basedOn w:val="Fontepargpadro"/>
    <w:link w:val="Corpodetexto"/>
    <w:uiPriority w:val="99"/>
    <w:rsid w:val="00AA1D8D"/>
  </w:style>
  <w:style w:type="paragraph" w:styleId="Corpodetexto2">
    <w:name w:val="Body Text 2"/>
    <w:basedOn w:val="Normal"/>
    <w:link w:val="Corpodetexto2Char"/>
    <w:uiPriority w:val="99"/>
    <w:unhideWhenUsed w:val="1"/>
    <w:rsid w:val="00AA1D8D"/>
    <w:pPr>
      <w:spacing w:after="120" w:line="480" w:lineRule="auto"/>
    </w:pPr>
  </w:style>
  <w:style w:type="character" w:styleId="Corpodetexto2Char" w:customStyle="1">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val="1"/>
    <w:rsid w:val="00AA1D8D"/>
    <w:pPr>
      <w:spacing w:after="120"/>
    </w:pPr>
    <w:rPr>
      <w:sz w:val="16"/>
      <w:szCs w:val="16"/>
    </w:rPr>
  </w:style>
  <w:style w:type="character" w:styleId="Corpodetexto3Char" w:customStyle="1">
    <w:name w:val="Corpo de texto 3 Char"/>
    <w:basedOn w:val="Fontepargpadro"/>
    <w:link w:val="Corpodetexto3"/>
    <w:uiPriority w:val="99"/>
    <w:rsid w:val="00AA1D8D"/>
    <w:rPr>
      <w:sz w:val="16"/>
      <w:szCs w:val="16"/>
    </w:rPr>
  </w:style>
  <w:style w:type="paragraph" w:styleId="Lista">
    <w:name w:val="List"/>
    <w:basedOn w:val="Normal"/>
    <w:uiPriority w:val="99"/>
    <w:unhideWhenUsed w:val="1"/>
    <w:rsid w:val="00AA1D8D"/>
    <w:pPr>
      <w:ind w:left="360" w:hanging="360"/>
      <w:contextualSpacing w:val="1"/>
    </w:pPr>
  </w:style>
  <w:style w:type="paragraph" w:styleId="Lista2">
    <w:name w:val="List 2"/>
    <w:basedOn w:val="Normal"/>
    <w:uiPriority w:val="99"/>
    <w:unhideWhenUsed w:val="1"/>
    <w:rsid w:val="00326F90"/>
    <w:pPr>
      <w:ind w:left="720" w:hanging="360"/>
      <w:contextualSpacing w:val="1"/>
    </w:pPr>
  </w:style>
  <w:style w:type="paragraph" w:styleId="Lista3">
    <w:name w:val="List 3"/>
    <w:basedOn w:val="Normal"/>
    <w:uiPriority w:val="99"/>
    <w:unhideWhenUsed w:val="1"/>
    <w:rsid w:val="00326F90"/>
    <w:pPr>
      <w:ind w:left="1080" w:hanging="360"/>
      <w:contextualSpacing w:val="1"/>
    </w:pPr>
  </w:style>
  <w:style w:type="paragraph" w:styleId="Commarcadores">
    <w:name w:val="List Bullet"/>
    <w:basedOn w:val="Normal"/>
    <w:uiPriority w:val="99"/>
    <w:unhideWhenUsed w:val="1"/>
    <w:rsid w:val="00326F90"/>
    <w:pPr>
      <w:numPr>
        <w:numId w:val="1"/>
      </w:numPr>
      <w:contextualSpacing w:val="1"/>
    </w:pPr>
  </w:style>
  <w:style w:type="paragraph" w:styleId="Commarcadores2">
    <w:name w:val="List Bullet 2"/>
    <w:basedOn w:val="Normal"/>
    <w:uiPriority w:val="99"/>
    <w:unhideWhenUsed w:val="1"/>
    <w:rsid w:val="00326F90"/>
    <w:pPr>
      <w:numPr>
        <w:numId w:val="2"/>
      </w:numPr>
      <w:contextualSpacing w:val="1"/>
    </w:pPr>
  </w:style>
  <w:style w:type="paragraph" w:styleId="Commarcadores3">
    <w:name w:val="List Bullet 3"/>
    <w:basedOn w:val="Normal"/>
    <w:uiPriority w:val="99"/>
    <w:unhideWhenUsed w:val="1"/>
    <w:rsid w:val="00326F90"/>
    <w:pPr>
      <w:numPr>
        <w:numId w:val="3"/>
      </w:numPr>
      <w:contextualSpacing w:val="1"/>
    </w:pPr>
  </w:style>
  <w:style w:type="paragraph" w:styleId="Numerada">
    <w:name w:val="List Number"/>
    <w:basedOn w:val="Normal"/>
    <w:uiPriority w:val="99"/>
    <w:unhideWhenUsed w:val="1"/>
    <w:rsid w:val="00326F90"/>
    <w:pPr>
      <w:numPr>
        <w:numId w:val="5"/>
      </w:numPr>
      <w:contextualSpacing w:val="1"/>
    </w:pPr>
  </w:style>
  <w:style w:type="paragraph" w:styleId="Numerada2">
    <w:name w:val="List Number 2"/>
    <w:basedOn w:val="Normal"/>
    <w:uiPriority w:val="99"/>
    <w:unhideWhenUsed w:val="1"/>
    <w:rsid w:val="0029639D"/>
    <w:pPr>
      <w:numPr>
        <w:numId w:val="6"/>
      </w:numPr>
      <w:contextualSpacing w:val="1"/>
    </w:pPr>
  </w:style>
  <w:style w:type="paragraph" w:styleId="Numerada3">
    <w:name w:val="List Number 3"/>
    <w:basedOn w:val="Normal"/>
    <w:uiPriority w:val="99"/>
    <w:unhideWhenUsed w:val="1"/>
    <w:rsid w:val="0029639D"/>
    <w:pPr>
      <w:numPr>
        <w:numId w:val="7"/>
      </w:numPr>
      <w:contextualSpacing w:val="1"/>
    </w:pPr>
  </w:style>
  <w:style w:type="paragraph" w:styleId="Listadecontinuao">
    <w:name w:val="List Continue"/>
    <w:basedOn w:val="Normal"/>
    <w:uiPriority w:val="99"/>
    <w:unhideWhenUsed w:val="1"/>
    <w:rsid w:val="0029639D"/>
    <w:pPr>
      <w:spacing w:after="120"/>
      <w:ind w:left="360"/>
      <w:contextualSpacing w:val="1"/>
    </w:pPr>
  </w:style>
  <w:style w:type="paragraph" w:styleId="Listadecontinuao2">
    <w:name w:val="List Continue 2"/>
    <w:basedOn w:val="Normal"/>
    <w:uiPriority w:val="99"/>
    <w:unhideWhenUsed w:val="1"/>
    <w:rsid w:val="0029639D"/>
    <w:pPr>
      <w:spacing w:after="120"/>
      <w:ind w:left="720"/>
      <w:contextualSpacing w:val="1"/>
    </w:pPr>
  </w:style>
  <w:style w:type="paragraph" w:styleId="Listadecontinuao3">
    <w:name w:val="List Continue 3"/>
    <w:basedOn w:val="Normal"/>
    <w:uiPriority w:val="99"/>
    <w:unhideWhenUsed w:val="1"/>
    <w:rsid w:val="0029639D"/>
    <w:pPr>
      <w:spacing w:after="120"/>
      <w:ind w:left="1080"/>
      <w:contextualSpacing w:val="1"/>
    </w:pPr>
  </w:style>
  <w:style w:type="paragraph" w:styleId="Textodemacro">
    <w:name w:val="macro"/>
    <w:link w:val="Textodemacro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TextodemacroChar" w:customStyle="1">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val="1"/>
    <w:rsid w:val="00FC693F"/>
    <w:rPr>
      <w:i w:val="1"/>
      <w:iCs w:val="1"/>
      <w:color w:val="000000" w:themeColor="text1"/>
    </w:rPr>
  </w:style>
  <w:style w:type="character" w:styleId="CitaoChar" w:customStyle="1">
    <w:name w:val="Citação Char"/>
    <w:basedOn w:val="Fontepargpadro"/>
    <w:link w:val="Citao"/>
    <w:uiPriority w:val="29"/>
    <w:rsid w:val="00FC693F"/>
    <w:rPr>
      <w:i w:val="1"/>
      <w:iCs w:val="1"/>
      <w:color w:val="000000" w:themeColor="text1"/>
    </w:rPr>
  </w:style>
  <w:style w:type="character" w:styleId="Ttulo4Char" w:customStyle="1">
    <w:name w:val="Título 4 Char"/>
    <w:basedOn w:val="Fontepargpadro"/>
    <w:link w:val="Ttulo4"/>
    <w:uiPriority w:val="9"/>
    <w:semiHidden w:val="1"/>
    <w:rsid w:val="00FC693F"/>
    <w:rPr>
      <w:rFonts w:asciiTheme="majorHAnsi" w:cstheme="majorBidi" w:eastAsiaTheme="majorEastAsia" w:hAnsiTheme="majorHAnsi"/>
      <w:b w:val="1"/>
      <w:bCs w:val="1"/>
      <w:i w:val="1"/>
      <w:iCs w:val="1"/>
      <w:color w:val="4f81bd" w:themeColor="accent1"/>
    </w:rPr>
  </w:style>
  <w:style w:type="character" w:styleId="Ttulo5Char" w:customStyle="1">
    <w:name w:val="Título 5 Char"/>
    <w:basedOn w:val="Fontepargpadro"/>
    <w:link w:val="Ttulo5"/>
    <w:uiPriority w:val="9"/>
    <w:semiHidden w:val="1"/>
    <w:rsid w:val="00FC693F"/>
    <w:rPr>
      <w:rFonts w:asciiTheme="majorHAnsi" w:cstheme="majorBidi" w:eastAsiaTheme="majorEastAsia" w:hAnsiTheme="majorHAnsi"/>
      <w:color w:val="243f60" w:themeColor="accent1" w:themeShade="00007F"/>
    </w:rPr>
  </w:style>
  <w:style w:type="character" w:styleId="Ttulo6Char" w:customStyle="1">
    <w:name w:val="Título 6 Char"/>
    <w:basedOn w:val="Fontepargpadro"/>
    <w:link w:val="Ttulo6"/>
    <w:uiPriority w:val="9"/>
    <w:semiHidden w:val="1"/>
    <w:rsid w:val="00FC693F"/>
    <w:rPr>
      <w:rFonts w:asciiTheme="majorHAnsi" w:cstheme="majorBidi" w:eastAsiaTheme="majorEastAsia" w:hAnsiTheme="majorHAnsi"/>
      <w:i w:val="1"/>
      <w:iCs w:val="1"/>
      <w:color w:val="243f60" w:themeColor="accent1" w:themeShade="00007F"/>
    </w:rPr>
  </w:style>
  <w:style w:type="character" w:styleId="Ttulo7Char" w:customStyle="1">
    <w:name w:val="Título 7 Char"/>
    <w:basedOn w:val="Fontepargpadro"/>
    <w:link w:val="Ttulo7"/>
    <w:uiPriority w:val="9"/>
    <w:semiHidden w:val="1"/>
    <w:rsid w:val="00FC693F"/>
    <w:rPr>
      <w:rFonts w:asciiTheme="majorHAnsi" w:cstheme="majorBidi" w:eastAsiaTheme="majorEastAsia" w:hAnsiTheme="majorHAnsi"/>
      <w:i w:val="1"/>
      <w:iCs w:val="1"/>
      <w:color w:val="404040" w:themeColor="text1" w:themeTint="0000BF"/>
    </w:rPr>
  </w:style>
  <w:style w:type="character" w:styleId="Ttulo8Char" w:customStyle="1">
    <w:name w:val="Título 8 Char"/>
    <w:basedOn w:val="Fontepargpadro"/>
    <w:link w:val="Ttulo8"/>
    <w:uiPriority w:val="9"/>
    <w:semiHidden w:val="1"/>
    <w:rsid w:val="00FC693F"/>
    <w:rPr>
      <w:rFonts w:asciiTheme="majorHAnsi" w:cstheme="majorBidi" w:eastAsiaTheme="majorEastAsia" w:hAnsiTheme="majorHAnsi"/>
      <w:color w:val="4f81bd" w:themeColor="accent1"/>
      <w:sz w:val="20"/>
      <w:szCs w:val="20"/>
    </w:rPr>
  </w:style>
  <w:style w:type="character" w:styleId="Ttulo9Char" w:customStyle="1">
    <w:name w:val="Título 9 Char"/>
    <w:basedOn w:val="Fontepargpadro"/>
    <w:link w:val="Ttulo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Legenda">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Forte">
    <w:name w:val="Strong"/>
    <w:basedOn w:val="Fontepargpadro"/>
    <w:uiPriority w:val="22"/>
    <w:qFormat w:val="1"/>
    <w:rsid w:val="00FC693F"/>
    <w:rPr>
      <w:b w:val="1"/>
      <w:bCs w:val="1"/>
    </w:rPr>
  </w:style>
  <w:style w:type="character" w:styleId="nfase">
    <w:name w:val="Emphasis"/>
    <w:basedOn w:val="Fontepargpadro"/>
    <w:uiPriority w:val="20"/>
    <w:qFormat w:val="1"/>
    <w:rsid w:val="00FC693F"/>
    <w:rPr>
      <w:i w:val="1"/>
      <w:iCs w:val="1"/>
    </w:rPr>
  </w:style>
  <w:style w:type="paragraph" w:styleId="CitaoIntensa">
    <w:name w:val="Intense Quote"/>
    <w:basedOn w:val="Normal"/>
    <w:next w:val="Normal"/>
    <w:link w:val="CitaoIntensa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CitaoIntensaChar" w:customStyle="1">
    <w:name w:val="Citação Intensa Char"/>
    <w:basedOn w:val="Fontepargpadro"/>
    <w:link w:val="CitaoIntensa"/>
    <w:uiPriority w:val="30"/>
    <w:rsid w:val="00FC693F"/>
    <w:rPr>
      <w:b w:val="1"/>
      <w:bCs w:val="1"/>
      <w:i w:val="1"/>
      <w:iCs w:val="1"/>
      <w:color w:val="4f81bd" w:themeColor="accent1"/>
    </w:rPr>
  </w:style>
  <w:style w:type="character" w:styleId="nfaseSutil">
    <w:name w:val="Subtle Emphasis"/>
    <w:basedOn w:val="Fontepargpadro"/>
    <w:uiPriority w:val="19"/>
    <w:qFormat w:val="1"/>
    <w:rsid w:val="00FC693F"/>
    <w:rPr>
      <w:i w:val="1"/>
      <w:iCs w:val="1"/>
      <w:color w:val="808080" w:themeColor="text1" w:themeTint="00007F"/>
    </w:rPr>
  </w:style>
  <w:style w:type="character" w:styleId="nfaseIntensa">
    <w:name w:val="Intense Emphasis"/>
    <w:basedOn w:val="Fontepargpadro"/>
    <w:uiPriority w:val="21"/>
    <w:qFormat w:val="1"/>
    <w:rsid w:val="00FC693F"/>
    <w:rPr>
      <w:b w:val="1"/>
      <w:bCs w:val="1"/>
      <w:i w:val="1"/>
      <w:iCs w:val="1"/>
      <w:color w:val="4f81bd" w:themeColor="accent1"/>
    </w:rPr>
  </w:style>
  <w:style w:type="character" w:styleId="RefernciaSutil">
    <w:name w:val="Subtle Reference"/>
    <w:basedOn w:val="Fontepargpadro"/>
    <w:uiPriority w:val="31"/>
    <w:qFormat w:val="1"/>
    <w:rsid w:val="00FC693F"/>
    <w:rPr>
      <w:smallCaps w:val="1"/>
      <w:color w:val="c0504d" w:themeColor="accent2"/>
      <w:u w:val="single"/>
    </w:rPr>
  </w:style>
  <w:style w:type="character" w:styleId="RefernciaIntensa">
    <w:name w:val="Intense Reference"/>
    <w:basedOn w:val="Fontepargpadro"/>
    <w:uiPriority w:val="32"/>
    <w:qFormat w:val="1"/>
    <w:rsid w:val="00FC693F"/>
    <w:rPr>
      <w:b w:val="1"/>
      <w:bCs w:val="1"/>
      <w:smallCaps w:val="1"/>
      <w:color w:val="c0504d" w:themeColor="accent2"/>
      <w:spacing w:val="5"/>
      <w:u w:val="single"/>
    </w:rPr>
  </w:style>
  <w:style w:type="character" w:styleId="TtulodoLivro">
    <w:name w:val="Book Title"/>
    <w:basedOn w:val="Fontepargpadro"/>
    <w:uiPriority w:val="33"/>
    <w:qFormat w:val="1"/>
    <w:rsid w:val="00FC693F"/>
    <w:rPr>
      <w:b w:val="1"/>
      <w:bCs w:val="1"/>
      <w:smallCaps w:val="1"/>
      <w:spacing w:val="5"/>
    </w:rPr>
  </w:style>
  <w:style w:type="paragraph" w:styleId="CabealhodoSumrio">
    <w:name w:val="TOC Heading"/>
    <w:basedOn w:val="Ttulo1"/>
    <w:next w:val="Normal"/>
    <w:uiPriority w:val="39"/>
    <w:semiHidden w:val="1"/>
    <w:unhideWhenUsed w:val="1"/>
    <w:qFormat w:val="1"/>
    <w:rsid w:val="00FC693F"/>
    <w:pPr>
      <w:outlineLvl w:val="9"/>
    </w:pPr>
  </w:style>
  <w:style w:type="table" w:styleId="Tabelacomgrade">
    <w:name w:val="Table Grid"/>
    <w:basedOn w:val="Tabela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SombreamentoClaro">
    <w:name w:val="Light Shading"/>
    <w:basedOn w:val="Tabela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SombreamentoClaro-nfase1">
    <w:name w:val="Light Shading Accent 1"/>
    <w:basedOn w:val="Tabela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SombreamentoClaro-nfase2">
    <w:name w:val="Light Shading Accent 2"/>
    <w:basedOn w:val="Tabela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SombreamentoClaro-nfase3">
    <w:name w:val="Light Shading Accent 3"/>
    <w:basedOn w:val="Tabela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SombreamentoClaro-nfase4">
    <w:name w:val="Light Shading Accent 4"/>
    <w:basedOn w:val="Tabela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SombreamentoClaro-nfase5">
    <w:name w:val="Light Shading Accent 5"/>
    <w:basedOn w:val="Tabela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SombreamentoClaro-nfase6">
    <w:name w:val="Light Shading Accent 6"/>
    <w:basedOn w:val="Tabela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staClara">
    <w:name w:val="Light List"/>
    <w:basedOn w:val="Tabela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ListaMdia2">
    <w:name w:val="Medium List 2"/>
    <w:basedOn w:val="Tabela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dia2-nfase1">
    <w:name w:val="Medium List 2 Accent 1"/>
    <w:basedOn w:val="Tabela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dia2-nfase2">
    <w:name w:val="Medium List 2 Accent 2"/>
    <w:basedOn w:val="Tabela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dia2-nfase3">
    <w:name w:val="Medium List 2 Accent 3"/>
    <w:basedOn w:val="Tabela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dia2-nfase4">
    <w:name w:val="Medium List 2 Accent 4"/>
    <w:basedOn w:val="Tabela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dia2-nfase5">
    <w:name w:val="Medium List 2 Accent 5"/>
    <w:basedOn w:val="Tabela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dia2-nfase6">
    <w:name w:val="Medium List 2 Accent 6"/>
    <w:basedOn w:val="Tabela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GradeMdia2">
    <w:name w:val="Medium Grid 2"/>
    <w:basedOn w:val="Tabela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GradeMdia2-nfase1">
    <w:name w:val="Medium Grid 2 Accent 1"/>
    <w:basedOn w:val="Tabela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GradeMdia2-nfase2">
    <w:name w:val="Medium Grid 2 Accent 2"/>
    <w:basedOn w:val="Tabela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GradeMdia2-nfase3">
    <w:name w:val="Medium Grid 2 Accent 3"/>
    <w:basedOn w:val="Tabela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GradeMdia2-nfase4">
    <w:name w:val="Medium Grid 2 Accent 4"/>
    <w:basedOn w:val="Tabela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GradeMdia2-nfase5">
    <w:name w:val="Medium Grid 2 Accent 5"/>
    <w:basedOn w:val="Tabela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GradeMdia2-nfase6">
    <w:name w:val="Medium Grid 2 Accent 6"/>
    <w:basedOn w:val="Tabela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character" w:styleId="TextodoEspaoReservado">
    <w:name w:val="Placeholder Text"/>
    <w:basedOn w:val="Fontepargpadro"/>
    <w:uiPriority w:val="99"/>
    <w:semiHidden w:val="1"/>
    <w:rsid w:val="00E1522D"/>
    <w:rPr>
      <w:color w:val="666666"/>
    </w:rPr>
  </w:style>
  <w:style w:type="character" w:styleId="Hyperlink">
    <w:name w:val="Hyperlink"/>
    <w:basedOn w:val="Fontepargpadro"/>
    <w:uiPriority w:val="99"/>
    <w:unhideWhenUsed w:val="1"/>
    <w:rsid w:val="0027344B"/>
    <w:rPr>
      <w:color w:val="0000ff" w:themeColor="hyperlink"/>
      <w:u w:val="single"/>
    </w:rPr>
  </w:style>
  <w:style w:type="character" w:styleId="MenoPendente">
    <w:name w:val="Unresolved Mention"/>
    <w:basedOn w:val="Fontepargpadro"/>
    <w:uiPriority w:val="99"/>
    <w:semiHidden w:val="1"/>
    <w:unhideWhenUsed w:val="1"/>
    <w:rsid w:val="0027344B"/>
    <w:rPr>
      <w:color w:val="605e5c"/>
      <w:shd w:color="auto" w:fill="e1dfdd" w:val="clear"/>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016/j.oneear.2021.02.015" TargetMode="External"/><Relationship Id="rId10" Type="http://schemas.openxmlformats.org/officeDocument/2006/relationships/hyperlink" Target="https://www.google.com/search?q=https://portal.tcu.gov.br/lumis/portal/file/fileDownload.jsp%3FfileId%3D8A8182A2666699970166C636733267E6" TargetMode="External"/><Relationship Id="rId13" Type="http://schemas.openxmlformats.org/officeDocument/2006/relationships/hyperlink" Target="https://unesdoc.unesco.org/ark:/48223/pf0000186559" TargetMode="External"/><Relationship Id="rId12" Type="http://schemas.openxmlformats.org/officeDocument/2006/relationships/hyperlink" Target="https://www.marinha.mil.br/secirm/pe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planalto.gov.br/ccivil_03/leis/l8617.htm" TargetMode="External"/><Relationship Id="rId15" Type="http://schemas.openxmlformats.org/officeDocument/2006/relationships/hyperlink" Target="https://www.ipcc.ch/report/ar6/wg1/" TargetMode="External"/><Relationship Id="rId14" Type="http://schemas.openxmlformats.org/officeDocument/2006/relationships/hyperlink" Target="https://repositorio.ufsc.br/handle/123456789/216369" TargetMode="External"/><Relationship Id="rId17" Type="http://schemas.openxmlformats.org/officeDocument/2006/relationships/hyperlink" Target="https://revista.egn.mar.mil.br/index.php/revistadaegn/article/view/14" TargetMode="External"/><Relationship Id="rId16" Type="http://schemas.openxmlformats.org/officeDocument/2006/relationships/hyperlink" Target="https://repositorio.ipea.gov.br/handle/11058/9658" TargetMode="External"/><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hyperlink" Target="https://unesdoc.unesco.org/ark:/48223/pf0000377082" TargetMode="External"/><Relationship Id="rId7" Type="http://schemas.openxmlformats.org/officeDocument/2006/relationships/customXml" Target="../customXML/item1.xml"/><Relationship Id="rId8" Type="http://schemas.openxmlformats.org/officeDocument/2006/relationships/hyperlink" Target="https://repositorio.ipea.gov.br/handle/11058/91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6L9ktA/gEG4ztW8OXVFP5Ud8tA==">CgMxLjA4AHIhMU5iWlZFakQ2NU56YS0yVmxFZnZmTE5tQmxLRGc2MFNV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2026-01-29T23:06:00Z</dcterms:created>
  <dc:creator>python-docx</dc:creator>
</cp:coreProperties>
</file>