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Times New Roman" w:cs="Times New Roman" w:eastAsia="Times New Roman" w:hAnsi="Times New Roman"/>
          <w:b w:val="1"/>
          <w:bCs w:val="1"/>
          <w:sz w:val="24"/>
          <w:szCs w:val="24"/>
        </w:rPr>
      </w:pPr>
      <w:bookmarkStart w:colFirst="0" w:colLast="0" w:name="_heading=h.lm5lqiks11iz" w:id="0"/>
      <w:bookmarkEnd w:id="0"/>
      <w:r w:rsidDel="00000000" w:rsidR="00000000" w:rsidRPr="00000000">
        <w:rPr>
          <w:rFonts w:ascii="Times New Roman" w:cs="Times New Roman" w:eastAsia="Times New Roman" w:hAnsi="Times New Roman"/>
          <w:b w:val="1"/>
          <w:bCs w:val="1"/>
          <w:sz w:val="24"/>
          <w:szCs w:val="24"/>
          <w:rtl w:val="0"/>
        </w:rPr>
        <w:t xml:space="preserve">A GEOPOLÍTICA DA ENERGIA DA RÚSSIA NO SÉCULO XXI EM MEIO A UMA ORDEM MUNDIAL EM TRANSFORMAÇÃO</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Bianca Martins da Costa Quintas</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pStyle w:val="Heading2"/>
        <w:ind w:left="0" w:firstLine="0"/>
        <w:jc w:val="both"/>
        <w:rPr>
          <w:rFonts w:ascii="Times New Roman" w:cs="Times New Roman" w:eastAsia="Times New Roman" w:hAnsi="Times New Roman"/>
          <w:b w:val="1"/>
          <w:bCs w:val="1"/>
          <w:sz w:val="24"/>
          <w:szCs w:val="24"/>
        </w:rPr>
      </w:pPr>
      <w:bookmarkStart w:colFirst="0" w:colLast="0" w:name="_heading=h.pc95dskoiwa9" w:id="1"/>
      <w:bookmarkEnd w:id="1"/>
      <w:r w:rsidDel="00000000" w:rsidR="00000000" w:rsidRPr="00000000">
        <w:rPr>
          <w:rFonts w:ascii="Times New Roman" w:cs="Times New Roman" w:eastAsia="Times New Roman" w:hAnsi="Times New Roman"/>
          <w:b w:val="1"/>
          <w:bCs w:val="1"/>
          <w:sz w:val="24"/>
          <w:szCs w:val="24"/>
          <w:rtl w:val="0"/>
        </w:rPr>
        <w:t xml:space="preserve">INTRODUÇÃO</w:t>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geopolítica ocupa um papel central no cálculo estratégico dos Estados, ao mesmo tempo que está intrinsecamente conectada ao setor de energia. Ela influencia o sistema internacional de forma que o acesso a esses recursos molda a dinâmica do poder global, impulsiona o desenvolvimento econômico das potências e sustenta regimes políticos. Estados, portanto, buscam garantir a sua segurança energética por meio do fornecimento contínuo de recursos energéticos a preços acessíveis. A competição pelo acesso a reservas ultrapassa disputas econômicas, podendo motivar conflitos geopolíticos em larga escala, e tensões relacionadas a recursos energéticos tendem a ser duradouras. Conflitos que envolvem a área energética são um reflexo da evolução das inovações tecnológicas e dos acontecimentos políticos e econômicos no sistema internacional (Hobér, 2014).</w:t>
        <w:tab/>
      </w:r>
    </w:p>
    <w:p w:rsidR="00000000" w:rsidDel="00000000" w:rsidP="00000000" w:rsidRDefault="00000000" w:rsidRPr="00000000" w14:paraId="0000000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fontes de petróleo e gás são escassas e estão distribuídas geograficamente de forma desigual, com poucos países dispondo de reservas suficientes para garantir a sua autossuficiência. O controle sobre reservas de combustíveis fósseis confere uma influência significativa aos Estados. O petróleo e o gás natural tornaram-se sujeitos a disputas geopolíticas mais intensamente a partir do século XX, e a influência da Rússia na geopolítica energética global está conectada ao seu papel central enquanto uma das maiores produtoras mundiais de petróleo e gás, dadas as suas vastas reservas desses recursos, que atuam como instrumentos de projeção de poder para o país (Fiori, 2020). </w:t>
      </w:r>
    </w:p>
    <w:p w:rsidR="00000000" w:rsidDel="00000000" w:rsidP="00000000" w:rsidRDefault="00000000" w:rsidRPr="00000000" w14:paraId="0000000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Rússia historicamente estabeleceu-se como uma das principais fornecedoras de petróleo e gás da Europa. A influência russa no continente motivou políticas de diversificação de parceiros comerciais, fontes energéticas e a construção de rotas alternativas visando a proteção de sua segurança energética, principalmente após eventos como a anexação da Crimeia em 2014 e a incursão russa na Ucrânia em 2022. Com a imposição de sanções em larga escala por parte do Ocidente que limitam o consumo do petróleo e gás russo, o redesenho do mapa do mapa estratégico da geopolítica energética global foi impulsionado. Com isso, foi provocada uma mudança no padrão desses recursos, que reflete processos mais amplos em curso na ordem mundial, marcados pelo declínio da hegemonia estadunidense e pelo surgimento de uma ordem multipolar.</w:t>
      </w:r>
    </w:p>
    <w:p w:rsidR="00000000" w:rsidDel="00000000" w:rsidP="00000000" w:rsidRDefault="00000000" w:rsidRPr="00000000" w14:paraId="0000000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Dessa forma, este trabalho tem como objetivo central responder a seguinte pergunta: de que forma a Rússia tem empregado a sua geopolítica da energia no século XXI em meio a transformações na ordem mundial? Para respondê-la, a primeira seção apresenta uma discussão sobre a interseção da geopolítica com a energia. A segunda seção aborda o lugar da Rússia e os principais marcos na evolução da ordem mundial pós-Guerra Fria. Por fim, a terceira seção analisa a geopolítica da energia da Rússia no século XXI, com o petróleo e gás natural a favor dos interesses do Estado.</w:t>
      </w:r>
    </w:p>
    <w:p w:rsidR="00000000" w:rsidDel="00000000" w:rsidP="00000000" w:rsidRDefault="00000000" w:rsidRPr="00000000" w14:paraId="0000000C">
      <w:pPr>
        <w:pStyle w:val="Heading2"/>
        <w:spacing w:line="360" w:lineRule="auto"/>
        <w:jc w:val="both"/>
        <w:rPr>
          <w:rFonts w:ascii="Times New Roman" w:cs="Times New Roman" w:eastAsia="Times New Roman" w:hAnsi="Times New Roman"/>
          <w:b w:val="1"/>
          <w:bCs w:val="1"/>
          <w:sz w:val="24"/>
          <w:szCs w:val="24"/>
        </w:rPr>
      </w:pPr>
      <w:bookmarkStart w:colFirst="0" w:colLast="0" w:name="_heading=h.6lno5vruth1o" w:id="2"/>
      <w:bookmarkEnd w:id="2"/>
      <w:r w:rsidDel="00000000" w:rsidR="00000000" w:rsidRPr="00000000">
        <w:rPr>
          <w:rFonts w:ascii="Times New Roman" w:cs="Times New Roman" w:eastAsia="Times New Roman" w:hAnsi="Times New Roman"/>
          <w:b w:val="1"/>
          <w:bCs w:val="1"/>
          <w:sz w:val="24"/>
          <w:szCs w:val="24"/>
          <w:rtl w:val="0"/>
        </w:rPr>
        <w:t xml:space="preserve">I - A GEOPOLÍTICA E A ENERGIA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Energia e geopolítica estão intrinsecamente conectadas. Países com acesso ao carvão foram os primeiros a se industrializar no século XIX, e a transição do uso do carvão para o petróleo conferiu importância estratégica a locais abundantes nesse recurso. Foi no século XX que o acesso a fontes energéticas se tornou um fator decisivo para a vitória em guerras, novas alianças globais de produtores de petróleo foram formadas, e variações de preços passaram a impactar mais significativamente as potências, seja de forma positiva ou negativa. As mudanças no setor energético no século XXI com políticas de transição energética, por sua vez, estão provocando uma transformação nas relações entre as duas esferas, na medida em que a pauta climática ganhou mais espaço no cenário internacional (Pascual, 2015). Nesse contexto, o presente estudo concentra-se na análise do petróleo e do gás natural, dada a centralidade desses recursos na geopolítica energética contemporânea.</w:t>
      </w:r>
    </w:p>
    <w:p w:rsidR="00000000" w:rsidDel="00000000" w:rsidP="00000000" w:rsidRDefault="00000000" w:rsidRPr="00000000" w14:paraId="0000000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energia, assim como outros instrumentos, pode atuar como uma alternativa às pressões militares, exercendo influência em países vizinhos e inimigos. A competição pelo acesso e controle de reservas ultrapassa disputas econômicas, podendo motivar conflitos geopolíticos em larga escala, e tensões relacionadas a recursos energéticos tendem a ser duradouras. Conflitos que envolvem a área energética são um reflexo da evolução das inovações tecnológicas e dos acontecimentos políticos e econômicos no sistema internacional (Hobér, 2014). </w:t>
      </w:r>
    </w:p>
    <w:p w:rsidR="00000000" w:rsidDel="00000000" w:rsidP="00000000" w:rsidRDefault="00000000" w:rsidRPr="00000000" w14:paraId="0000001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petróleo é o principal recurso energético mundial e um componente crucial na estratégia dos Estados. Ele corresponde a cerca de 30% do consumo energético mundial (IEA, 2025a), com ampla gama de usos que incluem como combustível para os meios de transporte e manufatura de plásticos. A Primeira Guerra Mundial (1914-1918) impulsionou a transição energética do carvão para o petróleo pelos seus usos militares, revolucionando a máquina de guerra das potências no que se refere à mobilidade das forças armadas e seus suprimentos pela terra e pelo ar. Por isso, as disputas pelo seu acesso, principalmente por parte de países que não dispõem de oferta suficiente para suprir suas necessidades internas, permanentemente mudaram as fronteiras das disputas geopolíticas, colocando no centro das competições os territórios em que há disponibilidade do recurso (Yergin, 1991).</w:t>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 gás natural, por sua vez, é um combustível fóssil considerado mais “limpo” que o petróleo, utilizado majoritariamente como fonte para geração de eletricidade e aquecimento. As trocas de gás natural transportado por gasodutos implicam uma relação mais estreita entre o produtor e os consumidores. São firmados acordos comerciais mais complexos e menos flexíveis, em que os volumes a serem transportados são combinados com extensa antecedência, e a infraestrutura de exportação requer financiamentos de longo prazo. Assim, comparativamente, as exportações de petróleo são relativamente mais flexíveis do que as de gás natural. Possíveis disrupções no comércio do gás, dessa forma, não podem ser remediadas tão rapidamente como no caso do petróleo (Högselius, 2012).</w:t>
      </w:r>
    </w:p>
    <w:p w:rsidR="00000000" w:rsidDel="00000000" w:rsidP="00000000" w:rsidRDefault="00000000" w:rsidRPr="00000000" w14:paraId="0000001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Estabelece-se, com isso, uma dinâmica de longo prazo de interdependência entre países exportadores e importadores. Nesse sentido, por conta da importância estratégica da energia, a gestão de sistemas e infraestrutura de abastecimento estão interligados com a política externa dos Estados, e discussões sobre energia estão intimamente conectadas às dinâmicas geopolíticas globais (Högselius, 2019).</w:t>
      </w:r>
    </w:p>
    <w:p w:rsidR="00000000" w:rsidDel="00000000" w:rsidP="00000000" w:rsidRDefault="00000000" w:rsidRPr="00000000" w14:paraId="0000001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questão da segurança energética é central, entendida neste trabalho como a capacidade de um Estado garantir o fornecimento contínuo de energia a preços acessíveis para o uso governamental e civil (IEA, 2014). O conceito tornou-se um tópico de discussão mais relevante na década de 1970, quando os países da Organização dos Países Exportadores de Petróleo (OPEP) promoveram um embargo na distribuição de petróleo para os Estados Unidos (EUA) e a Europa, evidenciando a vulnerabilidade desses atores aos choques de oferta do produto. As áreas de maior instabilidade política tendem a ser relacionadas a maior oferta de reservas energéticas, usadas para garantir principalmente a segurança energética de um país ou até limitar o acesso de países competidores a tais fontes (Paillard, 2010). </w:t>
      </w:r>
    </w:p>
    <w:p w:rsidR="00000000" w:rsidDel="00000000" w:rsidP="00000000" w:rsidRDefault="00000000" w:rsidRPr="00000000" w14:paraId="000000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Nesse sentido, o debate atual acerca da transição energética para o uso de fontes renováveis é multifacetado, não denotando apenas o seu objetivo de reduzir a dependência de combustíveis fósseis para fontes mais sustentáveis como a eólica, solar, hidrelétrica e nuclear. Além dos benefícios para o meio-ambiente, é capaz de reforçar a segurança energética. Como Silva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(2025) colocam, a expansão acelerada das fontes renováveis é motivada por fatores como a busca pela segurança energética, a diminuição da dependência de combustíveis fósseis, os avanços tecnológicos e a incorporação das pautas ambientais às agendas de países e organismos internacionais. </w:t>
      </w:r>
    </w:p>
    <w:p w:rsidR="00000000" w:rsidDel="00000000" w:rsidP="00000000" w:rsidRDefault="00000000" w:rsidRPr="00000000" w14:paraId="00000015">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360" w:lineRule="auto"/>
        <w:ind w:left="0" w:right="0" w:firstLine="0"/>
        <w:jc w:val="both"/>
        <w:rPr>
          <w:rFonts w:ascii="Times New Roman" w:cs="Times New Roman" w:eastAsia="Times New Roman" w:hAnsi="Times New Roman"/>
          <w:sz w:val="24"/>
          <w:szCs w:val="24"/>
        </w:rPr>
      </w:pPr>
      <w:bookmarkStart w:colFirst="0" w:colLast="0" w:name="_heading=h.rnkx8zpksk0t" w:id="3"/>
      <w:bookmarkEnd w:id="3"/>
      <w:r w:rsidDel="00000000" w:rsidR="00000000" w:rsidRPr="00000000">
        <w:rPr>
          <w:rFonts w:ascii="Times New Roman" w:cs="Times New Roman" w:eastAsia="Times New Roman" w:hAnsi="Times New Roman"/>
          <w:b w:val="1"/>
          <w:bCs w:val="1"/>
          <w:sz w:val="24"/>
          <w:szCs w:val="24"/>
          <w:rtl w:val="0"/>
        </w:rPr>
        <w:t xml:space="preserve">II - A RÚSSIA E A ORDEM MUNDIAL EM TRANSFORMAÇÃO </w:t>
      </w:r>
      <w:r w:rsidDel="00000000" w:rsidR="00000000" w:rsidRPr="00000000">
        <w:rPr>
          <w:rtl w:val="0"/>
        </w:rPr>
      </w:r>
    </w:p>
    <w:p w:rsidR="00000000" w:rsidDel="00000000" w:rsidP="00000000" w:rsidRDefault="00000000" w:rsidRPr="00000000" w14:paraId="0000001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década de 1990, com a dissolução da União Soviética em 1991 e o fim da Guerra Fria, os Estados Unidos consolidaram a sua hegemonia no sistema internacional. Numa condição de superioridade do seu poder militar e econômico, o país liderou a difusão dos seus valores éticos na linha da ordem liberal, por eles considerada vitoriosa, na crença da prosperidade econômica e na força convergente da globalização. Ao mesmo tempo, consolidou a sua moeda como base do sistema financeiro mundial e expandiu a sua capacidade de intervenção, estabelecendo bases militares mundo afora. Na Europa, isso se traduziu na aproximação econômica e política com países da antiga esfera de influência soviética, materializada num projeto expansivo da Organização do Tratado do Atlântico Norte (OTAN) ao leste para as fronteiras russas liderado em conjunto de seus aliados europeus (Fiori, 2004).</w:t>
      </w:r>
    </w:p>
    <w:p w:rsidR="00000000" w:rsidDel="00000000" w:rsidP="00000000" w:rsidRDefault="00000000" w:rsidRPr="00000000" w14:paraId="0000001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Rússia, sob a presidência de Boris Yeltsin (1991-1999), adotou uma política externa baseada na progressiva convergência dos sistemas econômico e político do país nos moldes ocidentais, além de reduções unilaterais de armas convencionais e nucleares que sinalizavam o abandono das pretensões do país enquanto uma grande potência, com a expectativa de auxílio financeiro por parte dos EUA e da Europa para a transição econômica do país, realizada por meio de uma “terapia de choque”. Mas, as reformas liberais acarretaram impactos negativos para a sociedade russa e o poder estatal, com a concentração de ativos estatais em uma nova classe de empresários, os “oligarcas” durante as privatizações, e provocaram uma recessão que durou a maior parte da década, culminando na crise financeira de 1998 (Pomeranz, 2009).</w:t>
      </w:r>
    </w:p>
    <w:p w:rsidR="00000000" w:rsidDel="00000000" w:rsidP="00000000" w:rsidRDefault="00000000" w:rsidRPr="00000000" w14:paraId="0000001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política de Yeltsin logo revelou-se unilateral, pois a ajuda econômica esperada não se concretizou. Levando em consideração a assimetria da sua posição econômica e militar no sistema internacional em relação aos demais países, além da fraqueza estatal da Rússia e turbulência interna naquele momento, os Estados Unidos, em conjunto com seus aliados europeus, implementaram uma estratégia de enfraquecimento geopolítico do país em múltiplas frentes (Mazat; Serrano, 2012). O quadro da Rússia na década, portanto, pode ser entendido, de acordo com Fiori (2020), da seguinte forma: </w:t>
      </w:r>
    </w:p>
    <w:p w:rsidR="00000000" w:rsidDel="00000000" w:rsidP="00000000" w:rsidRDefault="00000000" w:rsidRPr="00000000" w14:paraId="00000019">
      <w:pPr>
        <w:spacing w:after="200" w:line="240" w:lineRule="auto"/>
        <w:ind w:left="21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Não houve ‘acordo de paz’ depois do fim da Guerra Fria. Durante a década de 1990, o território, a população e a economia russos foram literalmente dizimados pelo avanço político e militar da OTAN sobre o Leste Europeu, e pelo ataque interno dos antigos burocratas soviéticos, que promoveram uma ‘privatização selvagem’ do antigo Estado russo (Fiori, 2020, p. 17).</w:t>
      </w:r>
      <w:r w:rsidDel="00000000" w:rsidR="00000000" w:rsidRPr="00000000">
        <w:rPr>
          <w:rtl w:val="0"/>
        </w:rPr>
      </w:r>
    </w:p>
    <w:p w:rsidR="00000000" w:rsidDel="00000000" w:rsidP="00000000" w:rsidRDefault="00000000" w:rsidRPr="00000000" w14:paraId="0000001A">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mudança de rumo viria apenas a partir da entrada de Vladimir Putin na presidência russa, em 31 de dezembro de 1999, com a renúncia de Yeltsin. Putin teve como prioridades imediatas a restauração da autoridade central e do complexo militar-industrial e a reconstrução da economia do país, tendo a manutenção de um Estado forte como marca da sua trajetória enquanto presidente. No âmbito exterior, reformulou a política externa do país com o objetivo da recuperação da sua posição geopolítica, voltando-se progressivamente para regiões estratégicas, principalmente o espaço pós-soviético e a reconstrução de uma área de segurança. As bases do sistema que consolidou e persiste até os dias de hoje são apoiadas na: </w:t>
      </w:r>
    </w:p>
    <w:p w:rsidR="00000000" w:rsidDel="00000000" w:rsidP="00000000" w:rsidRDefault="00000000" w:rsidRPr="00000000" w14:paraId="0000001B">
      <w:pPr>
        <w:spacing w:after="200" w:line="240" w:lineRule="auto"/>
        <w:ind w:left="21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i. A centralização do poder, através de alterações na estrutura e modo de funcionamento do sistema político representativo, assim como na regulamentação das atividades da sociedade civil e dos meios de comunicação, configurando a chamada ‘democracia administrada’; ii. As delimitações do poder oligárquico dos grandes grupos econômicos e a institucionalização de reformas na estrutura e funcionamento do sistema econômico; iii. A institucionalização do nacionalismo como base ideológica do sistema, resultante da adoção de uma política externa na qual o foco recai sobre a defesa dos interesses nacionais russos no concerto internacional (Pomeranz, 2018). </w:t>
      </w:r>
      <w:r w:rsidDel="00000000" w:rsidR="00000000" w:rsidRPr="00000000">
        <w:rPr>
          <w:rtl w:val="0"/>
        </w:rPr>
      </w:r>
    </w:p>
    <w:p w:rsidR="00000000" w:rsidDel="00000000" w:rsidP="00000000" w:rsidRDefault="00000000" w:rsidRPr="00000000" w14:paraId="0000001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Apesar de momentos de alinhamento ao Ocidente, como o apoio aos Estados Unidos após os ataques de 11 de setembro de 2001, logo divergências surgiram nos primeiros anos da presidência Putin. A OTAN teve novos movimentos expansivos nos anos 2000, ainda que com a oposição russa. Além disso, manifestações de caráter político, conhecidas como as revoluções coloridas, tiveram o apoio moral e financeiro dos EUA para a derrubada de governos pró-Rússia em favor de pró-ocidentais para conter a influência russa no espaço pós-soviético. Então, em uma antes aparente continuidade da política de cooperação com o Ocidente do período Yeltsin, a pauta de estreitamento dos laços com o Ocidente deu lugar à reafirmação mais assertiva dos interesses russos no exterior e a defesa de um sistema internacional multipolar, desafiando a ordem baseada na supremacia militar e econômica estadunidense vigente desde o fim da Guerra Fria. Isso ficou evidente no seu discurso na Conferência de Segurança de Munique em 2007, um marco na política externa da era Putin. Nele, contestou abertamente o avanço da aliança atlântica e da ordem instituída pelos estadunidenses, pois, segundo Putin, o uso excessivo da força militar coloca o mundo em uma condição de conflitos permanentes (Putin, 2007).</w:t>
      </w:r>
    </w:p>
    <w:p w:rsidR="00000000" w:rsidDel="00000000" w:rsidP="00000000" w:rsidRDefault="00000000" w:rsidRPr="00000000" w14:paraId="0000001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governo de seu sucessor, Dmitri Medvedev (2008-2012), foi marcado por um cenário exterior distinto. A intervenção russa na Guerra da Geórgia sinalizou que o avanço da OTAN ao leste não seria mais tolerado (Fiori, 2020). Medvedev adotou uma política externa com um tom menos assertivo que os dos dois primeiros mandatos de Putin por conta de mudanças no sistema internacional que incluem, segundo Tsygankov (2019), a recessão financeira global, uma limitada melhora nas relações com os Estados Unidos, e as revoluções no Oriente Médio, um fator preocupante para os russos pois poderiam ter consequências desestabilizadoras na região. Ademais, diante do cenário do declínio da hegemonia estadunidense revelada pelos efeitos da crise financeira de 2008, as prioridades da Rússia se voltaram para o fortalecimento do engajamento político e econômico com o Sul Global em fóruns multilaterais. </w:t>
      </w:r>
    </w:p>
    <w:p w:rsidR="00000000" w:rsidDel="00000000" w:rsidP="00000000" w:rsidRDefault="00000000" w:rsidRPr="00000000" w14:paraId="0000001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Putin retornou à presidência em 2012, quando mudanças na distribuição de poder no sistema internacional se aprofundaram pelo crescimento econômico e político de potências não-ocidentais e, além disso, a falha dos Estados Unidos em completar as suas operações militares no Afeganistão e no Iraque, “estabilizar” o Oriente Médio em profundas agitações, impor o seu poder na Rússia e em uma China em ascensão. Os dois países intensificaram o engajamento com instituições como os BRICS e a Organização para Cooperação de Xangai, numa iniciativa de afirmar seus interesses em fóruns multilaterais. Com a China, a participação nesses fóruns convergiu cada vez mais nos interesses comerciais e de segurança regional dos dois países. E, como Tsygankov (2019, p. 299, tradução nossa) coloca, “a ideia de democracia ao estilo ocidental, embora ainda atraente, já não despertava a mesma atenção. A China e a região Ásia-Pacífico estavam emergindo cada vez mais como novos centros de gravidade mundial.”</w:t>
      </w:r>
    </w:p>
    <w:p w:rsidR="00000000" w:rsidDel="00000000" w:rsidP="00000000" w:rsidRDefault="00000000" w:rsidRPr="00000000" w14:paraId="0000001F">
      <w:pPr>
        <w:spacing w:line="360" w:lineRule="auto"/>
        <w:ind w:firstLine="72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O aumento da desigualdade econômica e a desilusão com a globalização, associadas à crise econômica e migratória decorrida do deslocamento em massa da população afetada pelos conflitos no Oriente Médio contribuíram para a percepção da instabilidade na Europa por parte da Rússia. Num contexto global, marcou o retorno ao protecionismo e a ascensão de governos populistas, reduzindo a cooperação e aumentando as rivalidades entre Estados. Nos Estados Unidos, a vitória de Donald Trump nas eleições de 2016 foi resultado dos desafios enfrentados pelo país nos âmbitos interno e externo, que não se restringiam apenas às relações com a Rússia. Sem renunciar à noção da superioridade de seus valores, promoveu a redução das obrigações internacionais na OTAN e na Europa com seus gastos em defesa, instituindo medidas em contramão de uma ordem internacional que o próprio país estabeleceu (Korobkov, 2019). </w:t>
      </w:r>
      <w:r w:rsidDel="00000000" w:rsidR="00000000" w:rsidRPr="00000000">
        <w:rPr>
          <w:rtl w:val="0"/>
        </w:rPr>
      </w:r>
    </w:p>
    <w:p w:rsidR="00000000" w:rsidDel="00000000" w:rsidP="00000000" w:rsidRDefault="00000000" w:rsidRPr="00000000" w14:paraId="0000002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eleição do presidente Joe Biden em 2020 em seguida aprofundou o combate à ascensão global chinesa e russa nos campos econômico e militar, respectivamente. A sua política foi baseada na retomada do papel de liderança global do país, reparando o desgaste nas relações exteriores da administração anterior. Ele renovou o compromisso com as mudanças climáticas com a volta ao Acordo de Paris e, no contexto do enfrentamento à pandemia de Covid-19, retornou à Organização Mundial da Saúde. O lugar da Rússia na competição estratégica estadunidense se dá em termos da oposição ao que definem como potências com tendências autoritárias e revisionistas. Como colocaram no documento da Estratégia de Segurança Nacional lançado em 12 de outubro de 2022: </w:t>
      </w:r>
    </w:p>
    <w:p w:rsidR="00000000" w:rsidDel="00000000" w:rsidP="00000000" w:rsidRDefault="00000000" w:rsidRPr="00000000" w14:paraId="00000021">
      <w:pPr>
        <w:spacing w:line="240" w:lineRule="auto"/>
        <w:ind w:left="21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Competiremos efetivamente com a República Popular da China, que é o único concorrente tanto com intenção quanto com, cada vez mais, capacidade de remodelar a ordem internacional, ao mesmo tempo em que aperta uma Rússia perigosa (United States, 2022, tradução nossa). </w:t>
      </w:r>
    </w:p>
    <w:p w:rsidR="00000000" w:rsidDel="00000000" w:rsidP="00000000" w:rsidRDefault="00000000" w:rsidRPr="00000000" w14:paraId="00000022">
      <w:pPr>
        <w:spacing w:line="240" w:lineRule="auto"/>
        <w:ind w:left="216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fonte mais significativa de tensões entre a Rússia e o Ocidente remete aos conflitos com a Ucrânia desde 2014, que remetem à crescente influência Ocidental no país vizinho à Rússia, ao mesmo tempo do desejo ucraniano de aderir à União Europeia e à OTAN. As instabilidades na região culminaram na anexação do território da República da Crimeia e Sevastopol por parte da Rússia com a justificativa da proteção dos cidadãos russos na região, oficializando a sua integração à Federação Russa em 18 de março de 2014. Sanções foram impostas à Rússia em resposta, visando os setores de finanças, transporte, defesa, energia, tecnologia e comercial, com o objetivo de enfraquecer a sua economia, impedindo o seu acesso à tecnologia e mercados para desmobilizar a sua máquina de guerra.</w:t>
      </w:r>
    </w:p>
    <w:p w:rsidR="00000000" w:rsidDel="00000000" w:rsidP="00000000" w:rsidRDefault="00000000" w:rsidRPr="00000000" w14:paraId="0000002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Nas vésperas da invasão russa ao território ucraniano em larga escala, a Rússia, em declaração conjunta com o líder chinês Xi Jinping em 4 de fevereiro de 2022, discorreu sobre uma “nova era”, num claro desafio à hegemonia estadunidense e proposta uma nova ordem mundial. Eles têm uma visão própria da democracia e a intenção em comum de desenvolver a parceria comercial na região da Ásia-Pacífico. </w:t>
      </w:r>
    </w:p>
    <w:p w:rsidR="00000000" w:rsidDel="00000000" w:rsidP="00000000" w:rsidRDefault="00000000" w:rsidRPr="00000000" w14:paraId="0000002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guerra representa o maior conflito na Europa desde a Segunda Guerra Mundial (1939-1945) e é uma expressão da transição em curso da ordem internacional, com a erosão do poder relativo das potências dominantes e a ascensão de novos pólos de poder. O retorno de Donald Trump à presidência dos Estados Unidos em 2025 adiciona incertezas ao futuro do conflito e volatilidade à dinâmica das relações interestatais, dado o seu posicionamento destrutivo em relação às regras e instituições que fazem parte da ordem internacional instituída pelos EUA e o possível reequilíbrio estratégico de forças das potências do sistema (Fiori, 2024).</w:t>
      </w:r>
    </w:p>
    <w:p w:rsidR="00000000" w:rsidDel="00000000" w:rsidP="00000000" w:rsidRDefault="00000000" w:rsidRPr="00000000" w14:paraId="0000002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cenário internacional contemporâneo indica uma transição de ordem mundial em curso. Como fatores que evidenciam essa tendência estão (i) conflitos de alta intensidade na Ucrânia e em Gaza; a (ii) incapacidade dos EUA e da Europa de controlá-los, em contraste com o domínio exercido pelo Ocidente nos últimos séculos; (iii) a falha das sanções econômicas e a exposição da instrumentalização do dólar e do sistema de pagamentos SWIFT enquanto mecanismos coercitivos e armas de guerra; (iv) a falha do sistema de inteligência israelense e estadunidense em prever os ataques de 7 de outubro de 2023; (v) o ataque do Irã em Israel, evidenciando a força de atores regionais. Tais fatores apontam para o consenso de que a ordem mundial estabelecida no pós-Segunda Guerra Mundial e o “momento unipolar” dos Estados Unidos no pós-Guerra Fria chegaram ao fim. O que se indica para o futuro, dessa forma, é o nascimento de uma nova ordem multipolar imprevisível, militarizada e marcada sobretudo pela competição entre potências atômicas, com múltiplos focos de tensão e conflitos regionais mais prováveis (Fiori, 2026).</w:t>
      </w:r>
    </w:p>
    <w:p w:rsidR="00000000" w:rsidDel="00000000" w:rsidP="00000000" w:rsidRDefault="00000000" w:rsidRPr="00000000" w14:paraId="00000027">
      <w:pPr>
        <w:pStyle w:val="Heading2"/>
        <w:spacing w:after="200" w:line="360" w:lineRule="auto"/>
        <w:jc w:val="both"/>
        <w:rPr>
          <w:rFonts w:ascii="Times New Roman" w:cs="Times New Roman" w:eastAsia="Times New Roman" w:hAnsi="Times New Roman"/>
          <w:sz w:val="24"/>
          <w:szCs w:val="24"/>
        </w:rPr>
      </w:pPr>
      <w:bookmarkStart w:colFirst="0" w:colLast="0" w:name="_heading=h.ekbngm7tf0gg" w:id="4"/>
      <w:bookmarkEnd w:id="4"/>
      <w:r w:rsidDel="00000000" w:rsidR="00000000" w:rsidRPr="00000000">
        <w:rPr>
          <w:rFonts w:ascii="Times New Roman" w:cs="Times New Roman" w:eastAsia="Times New Roman" w:hAnsi="Times New Roman"/>
          <w:b w:val="1"/>
          <w:bCs w:val="1"/>
          <w:sz w:val="24"/>
          <w:szCs w:val="24"/>
          <w:rtl w:val="0"/>
        </w:rPr>
        <w:t xml:space="preserve">III - A GEOPOLÍTICA DA ENERGIA DA RÚSSIA NO SÉCULO XXI: PETRÓLEO E GÁS A SERVIÇO DO ESTADO</w:t>
      </w:r>
      <w:r w:rsidDel="00000000" w:rsidR="00000000" w:rsidRPr="00000000">
        <w:rPr>
          <w:rtl w:val="0"/>
        </w:rPr>
      </w:r>
    </w:p>
    <w:p w:rsidR="00000000" w:rsidDel="00000000" w:rsidP="00000000" w:rsidRDefault="00000000" w:rsidRPr="00000000" w14:paraId="00000028">
      <w:pPr>
        <w:spacing w:after="20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influência da Rússia na geopolítica energética global está ligada ao seu papel enquanto uma das maiores produtoras mundiais de petróleo e gás. A abundância de reservas desses recursos permite não apenas garantir a sua segurança energética, mas também lhe confere substancial poder de barganha e influência política no cenário exterior, especialmente na Europa Ocidental. A posição central da Rússia no mercado mundial desses recursos é historicamente construída. Com a descoberta de petróleo nos últimos anos do Império Russo no século XIX e a descoberta de vastas reservas na Sibéria várias décadas depois no período soviético, foi formada uma sofisticada rede de oleodutos e gasodutos que conectam o país com a Europa, impactando suas relações energéticas no longo prazo. Dessa forma, a Rússia se consolidou como exportadora de petróleo na década de 1960 e de gás natural na de 1970, comercializando seus recursos naturais em troca de tecnologia e moeda estrangeira que, por sua vez, permitiu a importação de bens de consumo e maquinários para o seu desenvolvimento econômico e tecnológico, impulsionando o seu desenvolvimento nacional (Perović, 2017).</w:t>
      </w:r>
    </w:p>
    <w:p w:rsidR="00000000" w:rsidDel="00000000" w:rsidP="00000000" w:rsidRDefault="00000000" w:rsidRPr="00000000" w14:paraId="00000029">
      <w:pPr>
        <w:spacing w:line="360" w:lineRule="auto"/>
        <w:ind w:firstLine="72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A partir da presidência Putin, as privatizações promovidas durante a década de 1990 foram revertidas, numa lógica de retomada do controle estatal dos recursos naturais em favor dos interesses nacionais. Com isso, no setor energético, o Estado passou a exercer maior controle na produção e distribuição de petróleo e gás, pois esses recursos são fundamentais para a sua pauta exportadora e para a retomada da sua projeção geopolítica no cenário exterior. Por meio da internacionalização de estatais de grande porte do setor energético, promovem-se os interesses do Estado, estabelecendo novas formas de relacionamento com empresas estrangeiras, que auxiliam na integração da Rússia à economia mundial e no restabelecimento do seu status de potência. Portanto, era imperativo que as empresas desse setor fossem novamente verticalmente integradas e parcialmente nacionalizadas, para assim poderem competir com as grandes companhias ocidentais, o que faz parte da ideia das “campeãs nacionais”: empresas que colocam os interesses geopolíticos do Estado acima da obtenção de lucro, apresentando-se como fornecedoras confiáveis de energia aos consumidores. Investimentos externos seriam atrativos desde que, tanto no caso do capital privado internacional quanto do nacional, a Rússia detivesse o controle operacional, coordenando as suas atividades. Assim, aposta-se na força no mercado de empresas como a petrolífera Rosneft e da gasífera Gazprom (Goldman, 2008).</w:t>
      </w:r>
      <w:r w:rsidDel="00000000" w:rsidR="00000000" w:rsidRPr="00000000">
        <w:rPr>
          <w:rtl w:val="0"/>
        </w:rPr>
      </w:r>
    </w:p>
    <w:p w:rsidR="00000000" w:rsidDel="00000000" w:rsidP="00000000" w:rsidRDefault="00000000" w:rsidRPr="00000000" w14:paraId="0000002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primeira década da Rússia no século XXI pode ser entendida, então, como a da realização do projeto de reconstrução de caráter nacionalista do Estado russo apoiado em um padrão de acumulação através da expansão e internacionalização das empresas do setor energético e na exportação de recursos naturais. Com essas reformas centralizadoras na economia e política do país, pode-se aproveitar de um cenário externo favorável, marcado pelo aumento dos preços do petróleo desde 1998, quando o barril de petróleo cru passou de, em preços correntes, US$ 12,72 neste ano para US$ 97,26 em 2008 propiciando a retomada do crescimento econômico do país a taxas anuais de cerca 7% até a crise financeira de 2008 (Medeiros, 2011).</w:t>
      </w:r>
    </w:p>
    <w:p w:rsidR="00000000" w:rsidDel="00000000" w:rsidP="00000000" w:rsidRDefault="00000000" w:rsidRPr="00000000" w14:paraId="0000002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economia russa continuou crescendo após a crise, ainda que em taxas menores. A partir dos conflitos da Ucrânia e Crimeia em 2014, entretanto, a Rússia enfrentou um quadro recessivo pelos impactos das sanções econômicas impostas pelos Estados Unidos e seus aliados europeus, e a queda dos preços internacionais do petróleo, que chegaram a cerca de US$ 30 por barril em 2016. Apesar disso, os presidentes Putin e Medvedev transformaram o petróleo e gás nas principais ferramentas de projeção de poder da Rússia, utilizando a dependência energética europeia e a crescente demanda da Ásia por recursos naturais para controlar a geopolítica de seus canais de transmissão e colocar-se como uma “ponte energética” dos dois continentes (Fiori, 2020). </w:t>
      </w:r>
    </w:p>
    <w:p w:rsidR="00000000" w:rsidDel="00000000" w:rsidP="00000000" w:rsidRDefault="00000000" w:rsidRPr="00000000" w14:paraId="0000002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outro lado, a desintegração da União Soviética impactou a forma pela qual as trocas energéticas são praticadas no que se refere aos limites dos territórios nacionais. Os principais gasodutos e oleodutos foram construídos na era soviética, compondo uma rede unificada de transmissão. Com a queda da URSS, emergiram 15 Estados independentes e, com isso, uma parte significativa da infraestrutura de transmissão de energia ficou concentrada nas ex-repúblicas soviéticas. Questões entre a Rússia e países-trânsito ganharam proeminência no pós-Guerra Fria, ultrapassando assuntos de direitos de propriedade e de taxas dos países-trânsito. A Rússia responde aos novos desafios do período com a criação de linhas de transmissão que desviam desses países, principalmente daqueles com quem as relações políticas estejam mais desgastadas, além da formação de parcerias com países vizinhos e novos contratos de armazenamento e transporte desses combustíveis.</w:t>
      </w:r>
    </w:p>
    <w:p w:rsidR="00000000" w:rsidDel="00000000" w:rsidP="00000000" w:rsidRDefault="00000000" w:rsidRPr="00000000" w14:paraId="0000002D">
      <w:pPr>
        <w:spacing w:line="360" w:lineRule="auto"/>
        <w:ind w:firstLine="720"/>
        <w:jc w:val="both"/>
        <w:rPr/>
      </w:pPr>
      <w:r w:rsidDel="00000000" w:rsidR="00000000" w:rsidRPr="00000000">
        <w:rPr>
          <w:rFonts w:ascii="Times New Roman" w:cs="Times New Roman" w:eastAsia="Times New Roman" w:hAnsi="Times New Roman"/>
          <w:sz w:val="24"/>
          <w:szCs w:val="24"/>
          <w:rtl w:val="0"/>
        </w:rPr>
        <w:t xml:space="preserve">Nesse sentido, a estratégia geopolítica de enfraquecimento da Rússia por parte dos Estados Unidos e seus aliados europeus na área energética no pós-Guerra Fria é implementada por meio da aproximação política de ex-repúblicas soviéticas que fazem parte da rota de trânsito das fontes energéticas para o continente europeu. Além disso, apoiam a construção de rotas alternativas, visando reduzir a dependência europeia sobretudo do gás russo, que chegou a corresponder a cerca de dois terços do gás exportado pelo país. As motivações estadunidenses são baseadas no seu entendimento sobre segurança energética, que consiste na garantia do abastecimento para as suas forças militares e econômicas e de seus aliados, e de ter a capacidade de controlar e impedir o acesso de reservas por outras nações, sejam elas inimigas ou concorrentes (Fiori, 2020).</w:t>
      </w:r>
      <w:r w:rsidDel="00000000" w:rsidR="00000000" w:rsidRPr="00000000">
        <w:rPr>
          <w:rtl w:val="0"/>
        </w:rPr>
        <w:tab/>
      </w:r>
    </w:p>
    <w:p w:rsidR="00000000" w:rsidDel="00000000" w:rsidP="00000000" w:rsidRDefault="00000000" w:rsidRPr="00000000" w14:paraId="0000002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impactos no sistema internacional com as tensões na Ucrânia desde 2014 e agravadas com a incursão russa no território a partir de fevereiro de 2022 evidenciam que o conflito transcende o âmbito militar, provocando uma transformação nos mercados mundiais de petróleo e gás em </w:t>
      </w:r>
      <w:r w:rsidDel="00000000" w:rsidR="00000000" w:rsidRPr="00000000">
        <w:rPr>
          <w:rFonts w:ascii="Times New Roman" w:cs="Times New Roman" w:eastAsia="Times New Roman" w:hAnsi="Times New Roman"/>
          <w:sz w:val="24"/>
          <w:szCs w:val="24"/>
          <w:highlight w:val="white"/>
          <w:rtl w:val="0"/>
        </w:rPr>
        <w:t xml:space="preserve">uma intensidade não vista há décadas e rompendo a relação histórica entre a Rússia e a Europa no setor energético. </w:t>
      </w:r>
      <w:r w:rsidDel="00000000" w:rsidR="00000000" w:rsidRPr="00000000">
        <w:rPr>
          <w:rFonts w:ascii="Times New Roman" w:cs="Times New Roman" w:eastAsia="Times New Roman" w:hAnsi="Times New Roman"/>
          <w:sz w:val="24"/>
          <w:szCs w:val="24"/>
          <w:rtl w:val="0"/>
        </w:rPr>
        <w:t xml:space="preserve">A Guerra da Ucrânia foi decisiva para um movimento mais expressivo de diversificação mútua entre a Rússia e os europeus. A União Europeia passou a promover políticas mais agressivas de transição e economia energética para reduzir os riscos geopolíticos decorrentes da sua dependência de combustíveis fósseis de fornecedores como a Rússia. Já os russos tentam contrabalançar o seu isolamento diplomático do Ocidente e os impactos das sanções econômicas com a formação de novas alianças, redirecionando o seu fluxo energético para o mercado asiático (Schreurs, 2023). </w:t>
      </w:r>
    </w:p>
    <w:p w:rsidR="00000000" w:rsidDel="00000000" w:rsidP="00000000" w:rsidRDefault="00000000" w:rsidRPr="00000000" w14:paraId="0000002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intensificação das políticas de transição para fontes energéticas limpas e a redução da emissão de gases poluentes no mesmo período, revelam, por sua vez, que iniciativas de transição energética não ocorrem de forma neutra ou homogênea. De fato, abrangem interesses de natureza política, econômica e estratégica que influenciam as relações internacionais no século XXI (Silva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2025).</w:t>
      </w:r>
    </w:p>
    <w:p w:rsidR="00000000" w:rsidDel="00000000" w:rsidP="00000000" w:rsidRDefault="00000000" w:rsidRPr="00000000" w14:paraId="0000003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Estados Unidos, a União Europeia e outros países impuseram novas rodadas de sanções econômicas em níveis sem precedentes com a invasão russa, e reduziram ou cortaram a importação do petróleo e gás russos com o objetivo de impedir o financiamento da máquina de guerra do país. Ao estabelecer novos acordos comerciais como parte de uma aliança política que vai além das relações energéticas, os russos respondem à estratégia estadunidense de uso do poder de sua moeda como arma de negociação contra seus concorrentes ou adversários (Torres Filho, 2022). </w:t>
      </w:r>
    </w:p>
    <w:p w:rsidR="00000000" w:rsidDel="00000000" w:rsidP="00000000" w:rsidRDefault="00000000" w:rsidRPr="00000000" w14:paraId="0000003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sanções aceleraram o redesenho do mapa energético mundial com uma mudança no padrão de comércio de petróleo e gás que reflete as mudanças em curso na ordem mundial. Enquanto os europeus importam de outras regiões e fontes alternativas como o gás natural liquefeito (GNL), reduzindo as importações via gasodutos, a Rússia respondeu às sanções com a diversificação de seus mercados consumidores, aumentando progressivamente a venda de petróleo e gás para parceiros como a China e a Índia. A Índia representou 34% das exportações de petróleo cru da Rússia em 2024, enquanto a China representou 26% no mesmo período. Entre 2021 e 2023, segundo o Conselho da União Europeia, as importações de gás natural via gasodutos russos caíram de 40% para 8%. O gasoduto Força da Sibéria 1 é a rota primária de gás natural para China, e há um projeto para a construção do gasoduto Força da Sibéria 2 visando aumentar a capacidade de exportação do gás russo para o país (IEA, 2025b). </w:t>
      </w:r>
    </w:p>
    <w:p w:rsidR="00000000" w:rsidDel="00000000" w:rsidP="00000000" w:rsidRDefault="00000000" w:rsidRPr="00000000" w14:paraId="00000032">
      <w:pPr>
        <w:pStyle w:val="Heading2"/>
        <w:spacing w:after="200" w:lineRule="auto"/>
        <w:rPr>
          <w:rFonts w:ascii="Times New Roman" w:cs="Times New Roman" w:eastAsia="Times New Roman" w:hAnsi="Times New Roman"/>
          <w:b w:val="1"/>
          <w:bCs w:val="1"/>
          <w:sz w:val="24"/>
          <w:szCs w:val="24"/>
        </w:rPr>
      </w:pPr>
      <w:bookmarkStart w:colFirst="0" w:colLast="0" w:name="_heading=h.j3ye8tezgq03" w:id="5"/>
      <w:bookmarkEnd w:id="5"/>
      <w:r w:rsidDel="00000000" w:rsidR="00000000" w:rsidRPr="00000000">
        <w:rPr>
          <w:rFonts w:ascii="Times New Roman" w:cs="Times New Roman" w:eastAsia="Times New Roman" w:hAnsi="Times New Roman"/>
          <w:b w:val="1"/>
          <w:bCs w:val="1"/>
          <w:sz w:val="24"/>
          <w:szCs w:val="24"/>
          <w:rtl w:val="0"/>
        </w:rPr>
        <w:t xml:space="preserve">IV - CONSIDERAÇÕES FINAIS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lugar de protagonismo da Rússia na geopolítica global está ligado a sua posição enquanto uma das maiores produtoras mundiais de petróleo e gás, recursos escassos e geograficamente distribuídos de forma desigual. A análise da geopolítica de energia da Rússia no século XXI feita no presente artigo revela o papel do petróleo e gás como instrumentos de poder em favor do Estado para a sua projeção no sistema internacional enquanto uma grande potência. Após a implementação de reformas centralizadoras baseadas na exploração de recursos naturais como motor do desenvolvimento nacional, a Rússia pode se beneficiar de um cenário externo favorável que propiciou o crescimento econômico do país e a sua recuperação geopolítica.</w:t>
      </w:r>
    </w:p>
    <w:p w:rsidR="00000000" w:rsidDel="00000000" w:rsidP="00000000" w:rsidRDefault="00000000" w:rsidRPr="00000000" w14:paraId="00000035">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dependência energética de países da Europa motivou políticas de diversificação por meio do uso de fontes energéticas alternativas e diferentes parcerias comerciais, como forma de limitar a influência da Rússia no continente. Tensões com o Ocidente motivadas pela anexação da Crimeia em 2014 e a invasão à Ucrânia em 2022, e a aplicação de sanções econômicas, foram decisivas para o redesenho do mapa energético mundial, evidenciando a formação de novas alianças que terão consequências de longo prazo para a geopolítica da energia global. </w:t>
      </w:r>
    </w:p>
    <w:p w:rsidR="00000000" w:rsidDel="00000000" w:rsidP="00000000" w:rsidRDefault="00000000" w:rsidRPr="00000000" w14:paraId="00000036">
      <w:pPr>
        <w:spacing w:after="0"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Rússia atualmente segue formando e aprofundando parcerias estratégicas para além do Ocidente, aumentando a sua participação em fóruns multilaterais e estreitando os laços com potências em ascensão, que compartilham os seus valores e a contestação ao poder americano, em favor de uma ordem mundial multipolar. Mas, ao mesmo tempo que a Rússia redefine o seu relacionamento com a Europa, dado o papel central que os setores de petróleo e gás continuam a desempenhar nas economias da região, a maximização das receitas advindas de combustíveis fósseis continuarão a ser prioridade na tomada de decisão e restrição às escolhas de política externa dos Estados.</w:t>
      </w:r>
    </w:p>
    <w:p w:rsidR="00000000" w:rsidDel="00000000" w:rsidP="00000000" w:rsidRDefault="00000000" w:rsidRPr="00000000" w14:paraId="00000037">
      <w:pPr>
        <w:pStyle w:val="Heading2"/>
        <w:spacing w:line="360" w:lineRule="auto"/>
        <w:jc w:val="both"/>
        <w:rPr>
          <w:rFonts w:ascii="Times New Roman" w:cs="Times New Roman" w:eastAsia="Times New Roman" w:hAnsi="Times New Roman"/>
          <w:sz w:val="24"/>
          <w:szCs w:val="24"/>
        </w:rPr>
      </w:pPr>
      <w:bookmarkStart w:colFirst="0" w:colLast="0" w:name="_heading=h.b8lsv283z5u2" w:id="6"/>
      <w:bookmarkEnd w:id="6"/>
      <w:r w:rsidDel="00000000" w:rsidR="00000000" w:rsidRPr="00000000">
        <w:rPr>
          <w:rFonts w:ascii="Times New Roman" w:cs="Times New Roman" w:eastAsia="Times New Roman" w:hAnsi="Times New Roman"/>
          <w:b w:val="1"/>
          <w:bCs w:val="1"/>
          <w:sz w:val="24"/>
          <w:szCs w:val="24"/>
          <w:rtl w:val="0"/>
        </w:rPr>
        <w:t xml:space="preserve">REFERÊNCIAS</w:t>
      </w:r>
      <w:r w:rsidDel="00000000" w:rsidR="00000000" w:rsidRPr="00000000">
        <w:rPr>
          <w:rtl w:val="0"/>
        </w:rPr>
      </w:r>
    </w:p>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FIORI, J. L. </w:t>
      </w:r>
      <w:r w:rsidDel="00000000" w:rsidR="00000000" w:rsidRPr="00000000">
        <w:rPr>
          <w:rFonts w:ascii="Times New Roman" w:cs="Times New Roman" w:eastAsia="Times New Roman" w:hAnsi="Times New Roman"/>
          <w:i w:val="1"/>
          <w:iCs w:val="1"/>
          <w:sz w:val="24"/>
          <w:szCs w:val="24"/>
          <w:rtl w:val="0"/>
        </w:rPr>
        <w:t xml:space="preserve">O poder americano</w:t>
      </w:r>
      <w:r w:rsidDel="00000000" w:rsidR="00000000" w:rsidRPr="00000000">
        <w:rPr>
          <w:rFonts w:ascii="Times New Roman" w:cs="Times New Roman" w:eastAsia="Times New Roman" w:hAnsi="Times New Roman"/>
          <w:sz w:val="24"/>
          <w:szCs w:val="24"/>
          <w:rtl w:val="0"/>
        </w:rPr>
        <w:t xml:space="preserve">. Petrópolis: Editora Vozes, 2004.</w:t>
      </w:r>
    </w:p>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FIORI, J. L. </w:t>
      </w:r>
      <w:r w:rsidDel="00000000" w:rsidR="00000000" w:rsidRPr="00000000">
        <w:rPr>
          <w:rFonts w:ascii="Times New Roman" w:cs="Times New Roman" w:eastAsia="Times New Roman" w:hAnsi="Times New Roman"/>
          <w:i w:val="1"/>
          <w:iCs w:val="1"/>
          <w:sz w:val="24"/>
          <w:szCs w:val="24"/>
          <w:rtl w:val="0"/>
        </w:rPr>
        <w:t xml:space="preserve">O lugar da Rússia e da guerra na nova estratégia global dos EUA.</w:t>
      </w:r>
      <w:r w:rsidDel="00000000" w:rsidR="00000000" w:rsidRPr="00000000">
        <w:rPr>
          <w:rFonts w:ascii="Times New Roman" w:cs="Times New Roman" w:eastAsia="Times New Roman" w:hAnsi="Times New Roman"/>
          <w:sz w:val="24"/>
          <w:szCs w:val="24"/>
          <w:rtl w:val="0"/>
        </w:rPr>
        <w:t xml:space="preserve"> [S. l.], 2017. Disponível em: https://fup.org.br/fiori-o-lugar-da-russia-e-da-guerra-na-novaestrategia-global-dos-eua/. Acesso em: 28 jan. 2026.</w:t>
      </w:r>
    </w:p>
    <w:p w:rsidR="00000000" w:rsidDel="00000000" w:rsidP="00000000" w:rsidRDefault="00000000" w:rsidRPr="00000000" w14:paraId="0000003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FIORI, J. L. Estados Unidos, Rússia e a grande transformação mundial: tendências e perspectivas. </w:t>
      </w:r>
      <w:r w:rsidDel="00000000" w:rsidR="00000000" w:rsidRPr="00000000">
        <w:rPr>
          <w:rFonts w:ascii="Times New Roman" w:cs="Times New Roman" w:eastAsia="Times New Roman" w:hAnsi="Times New Roman"/>
          <w:i w:val="1"/>
          <w:iCs w:val="1"/>
          <w:sz w:val="24"/>
          <w:szCs w:val="24"/>
          <w:rtl w:val="0"/>
        </w:rPr>
        <w:t xml:space="preserve">Texto para Discussão</w:t>
      </w:r>
      <w:r w:rsidDel="00000000" w:rsidR="00000000" w:rsidRPr="00000000">
        <w:rPr>
          <w:rFonts w:ascii="Times New Roman" w:cs="Times New Roman" w:eastAsia="Times New Roman" w:hAnsi="Times New Roman"/>
          <w:sz w:val="24"/>
          <w:szCs w:val="24"/>
          <w:rtl w:val="0"/>
        </w:rPr>
        <w:t xml:space="preserve">, Rio de Janeiro, ano 3, n. 14, p. 1-27, 2020. Disponível em: https://ineep.org.br/wp-content/uploads/2020/06/TD_n.14_Estados-UnidosR%C3%BAssia-e-a-grande-transforma%C3%A7%C3%A3o-mundial_Fiori.pdf. Acesso em: 23 jan. 2026.</w:t>
      </w:r>
    </w:p>
    <w:p w:rsidR="00000000" w:rsidDel="00000000" w:rsidP="00000000" w:rsidRDefault="00000000" w:rsidRPr="00000000" w14:paraId="0000003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FIORI, J. L. </w:t>
      </w:r>
      <w:r w:rsidDel="00000000" w:rsidR="00000000" w:rsidRPr="00000000">
        <w:rPr>
          <w:rFonts w:ascii="Times New Roman" w:cs="Times New Roman" w:eastAsia="Times New Roman" w:hAnsi="Times New Roman"/>
          <w:i w:val="1"/>
          <w:iCs w:val="1"/>
          <w:sz w:val="24"/>
          <w:szCs w:val="24"/>
          <w:rtl w:val="0"/>
        </w:rPr>
        <w:t xml:space="preserve">O Brasil e a nova ordem global.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Análise da Nova Ordem Global e o Brasil: Uma síntese do pensamento de José Luis Fiori.</w:t>
      </w:r>
      <w:r w:rsidDel="00000000" w:rsidR="00000000" w:rsidRPr="00000000">
        <w:rPr>
          <w:rFonts w:ascii="Times New Roman" w:cs="Times New Roman" w:eastAsia="Times New Roman" w:hAnsi="Times New Roman"/>
          <w:sz w:val="24"/>
          <w:szCs w:val="24"/>
          <w:rtl w:val="0"/>
        </w:rPr>
        <w:t xml:space="preserve"> Disponível em: </w:t>
      </w:r>
      <w:hyperlink r:id="rId8">
        <w:r w:rsidDel="00000000" w:rsidR="00000000" w:rsidRPr="00000000">
          <w:rPr>
            <w:rFonts w:ascii="Times New Roman" w:cs="Times New Roman" w:eastAsia="Times New Roman" w:hAnsi="Times New Roman"/>
            <w:color w:val="1155cc"/>
            <w:sz w:val="24"/>
            <w:szCs w:val="24"/>
            <w:u w:val="single"/>
            <w:rtl w:val="0"/>
          </w:rPr>
          <w:t xml:space="preserve">https://gd1993.substack.com/p/jose-luis-fiori-o-brasil-e-a-nova</w:t>
        </w:r>
      </w:hyperlink>
      <w:r w:rsidDel="00000000" w:rsidR="00000000" w:rsidRPr="00000000">
        <w:rPr>
          <w:rFonts w:ascii="Times New Roman" w:cs="Times New Roman" w:eastAsia="Times New Roman" w:hAnsi="Times New Roman"/>
          <w:sz w:val="24"/>
          <w:szCs w:val="24"/>
          <w:rtl w:val="0"/>
        </w:rPr>
        <w:t xml:space="preserve">. Acesso em: 05 fev. 2026.</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GOLDMAN, M. I.</w:t>
      </w:r>
      <w:r w:rsidDel="00000000" w:rsidR="00000000" w:rsidRPr="00000000">
        <w:rPr>
          <w:rFonts w:ascii="Times New Roman" w:cs="Times New Roman" w:eastAsia="Times New Roman" w:hAnsi="Times New Roman"/>
          <w:i w:val="1"/>
          <w:iCs w:val="1"/>
          <w:sz w:val="24"/>
          <w:szCs w:val="24"/>
          <w:rtl w:val="0"/>
        </w:rPr>
        <w:t xml:space="preserve"> Petrostate: Putin, Power and the new Russia.</w:t>
      </w:r>
      <w:r w:rsidDel="00000000" w:rsidR="00000000" w:rsidRPr="00000000">
        <w:rPr>
          <w:rFonts w:ascii="Times New Roman" w:cs="Times New Roman" w:eastAsia="Times New Roman" w:hAnsi="Times New Roman"/>
          <w:sz w:val="24"/>
          <w:szCs w:val="24"/>
          <w:rtl w:val="0"/>
        </w:rPr>
        <w:t xml:space="preserve"> Nova Iorque: Oxford University Press, 2008.</w:t>
      </w:r>
    </w:p>
    <w:p w:rsidR="00000000" w:rsidDel="00000000" w:rsidP="00000000" w:rsidRDefault="00000000" w:rsidRPr="00000000" w14:paraId="0000004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HOBÉR, K. Recent trends in energy disputes. In: Talus, K. (ed.). </w:t>
      </w:r>
      <w:r w:rsidDel="00000000" w:rsidR="00000000" w:rsidRPr="00000000">
        <w:rPr>
          <w:rFonts w:ascii="Times New Roman" w:cs="Times New Roman" w:eastAsia="Times New Roman" w:hAnsi="Times New Roman"/>
          <w:i w:val="1"/>
          <w:iCs w:val="1"/>
          <w:sz w:val="24"/>
          <w:szCs w:val="24"/>
          <w:rtl w:val="0"/>
        </w:rPr>
        <w:t xml:space="preserve">Research Handbook on International Energy Law. </w:t>
      </w:r>
      <w:r w:rsidDel="00000000" w:rsidR="00000000" w:rsidRPr="00000000">
        <w:rPr>
          <w:rFonts w:ascii="Times New Roman" w:cs="Times New Roman" w:eastAsia="Times New Roman" w:hAnsi="Times New Roman"/>
          <w:sz w:val="24"/>
          <w:szCs w:val="24"/>
          <w:rtl w:val="0"/>
        </w:rPr>
        <w:t xml:space="preserve">Cheltenham: Edward Elgar Publishing, 2014. p. 225-240.</w:t>
      </w:r>
    </w:p>
    <w:p w:rsidR="00000000" w:rsidDel="00000000" w:rsidP="00000000" w:rsidRDefault="00000000" w:rsidRPr="00000000" w14:paraId="0000004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HÖGSELIUS, P. </w:t>
      </w:r>
      <w:r w:rsidDel="00000000" w:rsidR="00000000" w:rsidRPr="00000000">
        <w:rPr>
          <w:rFonts w:ascii="Times New Roman" w:cs="Times New Roman" w:eastAsia="Times New Roman" w:hAnsi="Times New Roman"/>
          <w:i w:val="1"/>
          <w:iCs w:val="1"/>
          <w:sz w:val="24"/>
          <w:szCs w:val="24"/>
          <w:rtl w:val="0"/>
        </w:rPr>
        <w:t xml:space="preserve">Red gas: Russia and the Origins of European Energy Dependence.</w:t>
      </w:r>
      <w:r w:rsidDel="00000000" w:rsidR="00000000" w:rsidRPr="00000000">
        <w:rPr>
          <w:rFonts w:ascii="Times New Roman" w:cs="Times New Roman" w:eastAsia="Times New Roman" w:hAnsi="Times New Roman"/>
          <w:sz w:val="24"/>
          <w:szCs w:val="24"/>
          <w:rtl w:val="0"/>
        </w:rPr>
        <w:t xml:space="preserve"> Nova York: Palgrave Macmillan, 2012</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HÖGSELIUS, P. </w:t>
      </w:r>
      <w:r w:rsidDel="00000000" w:rsidR="00000000" w:rsidRPr="00000000">
        <w:rPr>
          <w:rFonts w:ascii="Times New Roman" w:cs="Times New Roman" w:eastAsia="Times New Roman" w:hAnsi="Times New Roman"/>
          <w:i w:val="1"/>
          <w:iCs w:val="1"/>
          <w:sz w:val="24"/>
          <w:szCs w:val="24"/>
          <w:rtl w:val="0"/>
        </w:rPr>
        <w:t xml:space="preserve">Energy and Geopolitics</w:t>
      </w:r>
      <w:r w:rsidDel="00000000" w:rsidR="00000000" w:rsidRPr="00000000">
        <w:rPr>
          <w:rFonts w:ascii="Times New Roman" w:cs="Times New Roman" w:eastAsia="Times New Roman" w:hAnsi="Times New Roman"/>
          <w:sz w:val="24"/>
          <w:szCs w:val="24"/>
          <w:rtl w:val="0"/>
        </w:rPr>
        <w:t xml:space="preserve">. New York: Routledge, 2019. </w:t>
      </w:r>
    </w:p>
    <w:p w:rsidR="00000000" w:rsidDel="00000000" w:rsidP="00000000" w:rsidRDefault="00000000" w:rsidRPr="00000000" w14:paraId="0000004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ENERGY AGENCY – IEA. “</w:t>
      </w:r>
      <w:r w:rsidDel="00000000" w:rsidR="00000000" w:rsidRPr="00000000">
        <w:rPr>
          <w:rFonts w:ascii="Times New Roman" w:cs="Times New Roman" w:eastAsia="Times New Roman" w:hAnsi="Times New Roman"/>
          <w:i w:val="1"/>
          <w:iCs w:val="1"/>
          <w:sz w:val="24"/>
          <w:szCs w:val="24"/>
          <w:rtl w:val="0"/>
        </w:rPr>
        <w:t xml:space="preserve">Energy Security” IEA Energy Technology Systems Analysis Programme.</w:t>
      </w:r>
      <w:r w:rsidDel="00000000" w:rsidR="00000000" w:rsidRPr="00000000">
        <w:rPr>
          <w:rFonts w:ascii="Times New Roman" w:cs="Times New Roman" w:eastAsia="Times New Roman" w:hAnsi="Times New Roman"/>
          <w:sz w:val="24"/>
          <w:szCs w:val="24"/>
          <w:rtl w:val="0"/>
        </w:rPr>
        <w:t xml:space="preserve"> Paris: IEA, 2014.</w:t>
      </w:r>
    </w:p>
    <w:p w:rsidR="00000000" w:rsidDel="00000000" w:rsidP="00000000" w:rsidRDefault="00000000" w:rsidRPr="00000000" w14:paraId="0000004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ENERGY AGENCY - IEA. </w:t>
      </w:r>
      <w:r w:rsidDel="00000000" w:rsidR="00000000" w:rsidRPr="00000000">
        <w:rPr>
          <w:rFonts w:ascii="Times New Roman" w:cs="Times New Roman" w:eastAsia="Times New Roman" w:hAnsi="Times New Roman"/>
          <w:i w:val="1"/>
          <w:iCs w:val="1"/>
          <w:sz w:val="24"/>
          <w:szCs w:val="24"/>
          <w:rtl w:val="0"/>
        </w:rPr>
        <w:t xml:space="preserve">Global Energy Review 2025: Oil. </w:t>
      </w:r>
      <w:r w:rsidDel="00000000" w:rsidR="00000000" w:rsidRPr="00000000">
        <w:rPr>
          <w:rFonts w:ascii="Times New Roman" w:cs="Times New Roman" w:eastAsia="Times New Roman" w:hAnsi="Times New Roman"/>
          <w:sz w:val="24"/>
          <w:szCs w:val="24"/>
          <w:rtl w:val="0"/>
        </w:rPr>
        <w:t xml:space="preserve">2025a. Disponível em: </w:t>
      </w:r>
      <w:hyperlink r:id="rId9">
        <w:r w:rsidDel="00000000" w:rsidR="00000000" w:rsidRPr="00000000">
          <w:rPr>
            <w:rFonts w:ascii="Times New Roman" w:cs="Times New Roman" w:eastAsia="Times New Roman" w:hAnsi="Times New Roman"/>
            <w:color w:val="1155cc"/>
            <w:sz w:val="24"/>
            <w:szCs w:val="24"/>
            <w:u w:val="single"/>
            <w:rtl w:val="0"/>
          </w:rPr>
          <w:t xml:space="preserve">https://www.iea.org/reports/global-energy-review-2025/oil</w:t>
        </w:r>
      </w:hyperlink>
      <w:r w:rsidDel="00000000" w:rsidR="00000000" w:rsidRPr="00000000">
        <w:rPr>
          <w:rFonts w:ascii="Times New Roman" w:cs="Times New Roman" w:eastAsia="Times New Roman" w:hAnsi="Times New Roman"/>
          <w:sz w:val="24"/>
          <w:szCs w:val="24"/>
          <w:rtl w:val="0"/>
        </w:rPr>
        <w:t xml:space="preserve">. Acesso em: 05 fev. 2026.</w:t>
      </w:r>
    </w:p>
    <w:p w:rsidR="00000000" w:rsidDel="00000000" w:rsidP="00000000" w:rsidRDefault="00000000" w:rsidRPr="00000000" w14:paraId="0000004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ENERGY AGENCY - IEA. </w:t>
      </w:r>
      <w:r w:rsidDel="00000000" w:rsidR="00000000" w:rsidRPr="00000000">
        <w:rPr>
          <w:rFonts w:ascii="Times New Roman" w:cs="Times New Roman" w:eastAsia="Times New Roman" w:hAnsi="Times New Roman"/>
          <w:i w:val="1"/>
          <w:iCs w:val="1"/>
          <w:sz w:val="24"/>
          <w:szCs w:val="24"/>
          <w:rtl w:val="0"/>
        </w:rPr>
        <w:t xml:space="preserve">Country Analysis Brief: Russia</w:t>
      </w:r>
      <w:r w:rsidDel="00000000" w:rsidR="00000000" w:rsidRPr="00000000">
        <w:rPr>
          <w:rFonts w:ascii="Times New Roman" w:cs="Times New Roman" w:eastAsia="Times New Roman" w:hAnsi="Times New Roman"/>
          <w:sz w:val="24"/>
          <w:szCs w:val="24"/>
          <w:rtl w:val="0"/>
        </w:rPr>
        <w:t xml:space="preserve">. 2025b. Disponível em: </w:t>
      </w:r>
      <w:hyperlink r:id="rId10">
        <w:r w:rsidDel="00000000" w:rsidR="00000000" w:rsidRPr="00000000">
          <w:rPr>
            <w:rFonts w:ascii="Times New Roman" w:cs="Times New Roman" w:eastAsia="Times New Roman" w:hAnsi="Times New Roman"/>
            <w:color w:val="1155cc"/>
            <w:sz w:val="24"/>
            <w:szCs w:val="24"/>
            <w:u w:val="single"/>
            <w:rtl w:val="0"/>
          </w:rPr>
          <w:t xml:space="preserve">https://www.eia.gov/international/content/analysis/countries_long/Russia/pdf/Russia%20CAB_2025.pdf</w:t>
        </w:r>
      </w:hyperlink>
      <w:r w:rsidDel="00000000" w:rsidR="00000000" w:rsidRPr="00000000">
        <w:rPr>
          <w:rFonts w:ascii="Times New Roman" w:cs="Times New Roman" w:eastAsia="Times New Roman" w:hAnsi="Times New Roman"/>
          <w:sz w:val="24"/>
          <w:szCs w:val="24"/>
          <w:rtl w:val="0"/>
        </w:rPr>
        <w:t xml:space="preserve">. Acesso em: 05 fev. 2026.</w:t>
      </w:r>
    </w:p>
    <w:p w:rsidR="00000000" w:rsidDel="00000000" w:rsidP="00000000" w:rsidRDefault="00000000" w:rsidRPr="00000000" w14:paraId="0000004D">
      <w:pPr>
        <w:spacing w:line="240" w:lineRule="auto"/>
        <w:rPr/>
      </w:pPr>
      <w:r w:rsidDel="00000000" w:rsidR="00000000" w:rsidRPr="00000000">
        <w:rPr>
          <w:rtl w:val="0"/>
        </w:rPr>
      </w:r>
    </w:p>
    <w:p w:rsidR="00000000" w:rsidDel="00000000" w:rsidP="00000000" w:rsidRDefault="00000000" w:rsidRPr="00000000" w14:paraId="0000004E">
      <w:pPr>
        <w:spacing w:line="240" w:lineRule="auto"/>
        <w:rPr/>
      </w:pPr>
      <w:r w:rsidDel="00000000" w:rsidR="00000000" w:rsidRPr="00000000">
        <w:rPr>
          <w:rFonts w:ascii="Times New Roman" w:cs="Times New Roman" w:eastAsia="Times New Roman" w:hAnsi="Times New Roman"/>
          <w:sz w:val="24"/>
          <w:szCs w:val="24"/>
          <w:rtl w:val="0"/>
        </w:rPr>
        <w:t xml:space="preserve">KOROBKOV. A. Donald Trump and the Evolving U.S.-Russia Relationship. </w:t>
      </w:r>
      <w:r w:rsidDel="00000000" w:rsidR="00000000" w:rsidRPr="00000000">
        <w:rPr>
          <w:rFonts w:ascii="Times New Roman" w:cs="Times New Roman" w:eastAsia="Times New Roman" w:hAnsi="Times New Roman"/>
          <w:i w:val="1"/>
          <w:iCs w:val="1"/>
          <w:sz w:val="24"/>
          <w:szCs w:val="24"/>
          <w:rtl w:val="0"/>
        </w:rPr>
        <w:t xml:space="preserve">Perceptions,</w:t>
      </w:r>
      <w:r w:rsidDel="00000000" w:rsidR="00000000" w:rsidRPr="00000000">
        <w:rPr>
          <w:rFonts w:ascii="Times New Roman" w:cs="Times New Roman" w:eastAsia="Times New Roman" w:hAnsi="Times New Roman"/>
          <w:sz w:val="24"/>
          <w:szCs w:val="24"/>
          <w:rtl w:val="0"/>
        </w:rPr>
        <w:t xml:space="preserve"> [s. l.], v. 24, n. 1, p. 39-58, Spring/Summer 2019. Disponível em: https://sam.gov.tr/pdf/perceptions/Volume-XXIV/Spring-Summer-2019/03-Korobkov.pdf. Acesso em: 24 jan. 2026</w:t>
      </w:r>
      <w:r w:rsidDel="00000000" w:rsidR="00000000" w:rsidRPr="00000000">
        <w:rPr>
          <w:rtl w:val="0"/>
        </w:rPr>
        <w:t xml:space="preserve">. </w:t>
      </w:r>
    </w:p>
    <w:p w:rsidR="00000000" w:rsidDel="00000000" w:rsidP="00000000" w:rsidRDefault="00000000" w:rsidRPr="00000000" w14:paraId="0000004F">
      <w:pPr>
        <w:spacing w:line="240" w:lineRule="auto"/>
        <w:rPr/>
      </w:pPr>
      <w:r w:rsidDel="00000000" w:rsidR="00000000" w:rsidRPr="00000000">
        <w:rPr>
          <w:rtl w:val="0"/>
        </w:rPr>
      </w:r>
    </w:p>
    <w:p w:rsidR="00000000" w:rsidDel="00000000" w:rsidP="00000000" w:rsidRDefault="00000000" w:rsidRPr="00000000" w14:paraId="00000050">
      <w:pPr>
        <w:spacing w:line="240" w:lineRule="auto"/>
        <w:rPr/>
      </w:pPr>
      <w:r w:rsidDel="00000000" w:rsidR="00000000" w:rsidRPr="00000000">
        <w:rPr>
          <w:rFonts w:ascii="Times New Roman" w:cs="Times New Roman" w:eastAsia="Times New Roman" w:hAnsi="Times New Roman"/>
          <w:sz w:val="24"/>
          <w:szCs w:val="24"/>
          <w:rtl w:val="0"/>
        </w:rPr>
        <w:t xml:space="preserve">MAZAT, N.; SERRANO, F. </w:t>
      </w:r>
      <w:r w:rsidDel="00000000" w:rsidR="00000000" w:rsidRPr="00000000">
        <w:rPr>
          <w:rFonts w:ascii="Times New Roman" w:cs="Times New Roman" w:eastAsia="Times New Roman" w:hAnsi="Times New Roman"/>
          <w:i w:val="1"/>
          <w:iCs w:val="1"/>
          <w:sz w:val="24"/>
          <w:szCs w:val="24"/>
          <w:rtl w:val="0"/>
        </w:rPr>
        <w:t xml:space="preserve">An analysis of the Soviet economic growth from the 1950’s to the collapse of the USSR.</w:t>
      </w:r>
      <w:r w:rsidDel="00000000" w:rsidR="00000000" w:rsidRPr="00000000">
        <w:rPr>
          <w:rFonts w:ascii="Times New Roman" w:cs="Times New Roman" w:eastAsia="Times New Roman" w:hAnsi="Times New Roman"/>
          <w:sz w:val="24"/>
          <w:szCs w:val="24"/>
          <w:rtl w:val="0"/>
        </w:rPr>
        <w:t xml:space="preserve"> [S. l.], 2012. Disponível em: www.centrosraffa.org/public/bb6ba675-6bef-4182-bb89-339ae1f7e792.pdf. Acesso em: 29 jan. 2026,</w:t>
      </w:r>
      <w:r w:rsidDel="00000000" w:rsidR="00000000" w:rsidRPr="00000000">
        <w:rPr>
          <w:rtl w:val="0"/>
        </w:rPr>
        <w:t xml:space="preserve">.</w:t>
      </w:r>
    </w:p>
    <w:p w:rsidR="00000000" w:rsidDel="00000000" w:rsidP="00000000" w:rsidRDefault="00000000" w:rsidRPr="00000000" w14:paraId="00000051">
      <w:pPr>
        <w:spacing w:line="240" w:lineRule="auto"/>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MEDEIROS, C. A economia política da transição na Rússia. In: ALVES, A. G. de M. P.; PARANHOS, C. A. da R.</w:t>
      </w:r>
      <w:r w:rsidDel="00000000" w:rsidR="00000000" w:rsidRPr="00000000">
        <w:rPr>
          <w:rFonts w:ascii="Times New Roman" w:cs="Times New Roman" w:eastAsia="Times New Roman" w:hAnsi="Times New Roman"/>
          <w:i w:val="1"/>
          <w:iCs w:val="1"/>
          <w:sz w:val="24"/>
          <w:szCs w:val="24"/>
          <w:rtl w:val="0"/>
        </w:rPr>
        <w:t xml:space="preserve"> Uma longa transição</w:t>
      </w:r>
      <w:r w:rsidDel="00000000" w:rsidR="00000000" w:rsidRPr="00000000">
        <w:rPr>
          <w:rFonts w:ascii="Times New Roman" w:cs="Times New Roman" w:eastAsia="Times New Roman" w:hAnsi="Times New Roman"/>
          <w:sz w:val="24"/>
          <w:szCs w:val="24"/>
          <w:rtl w:val="0"/>
        </w:rPr>
        <w:t xml:space="preserve">: vinte anos de transformações na Rússia. Brasília: IPEA, 2011. p. 13-37.</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PASCUAL, C. </w:t>
      </w:r>
      <w:r w:rsidDel="00000000" w:rsidR="00000000" w:rsidRPr="00000000">
        <w:rPr>
          <w:rFonts w:ascii="Times New Roman" w:cs="Times New Roman" w:eastAsia="Times New Roman" w:hAnsi="Times New Roman"/>
          <w:i w:val="1"/>
          <w:iCs w:val="1"/>
          <w:sz w:val="24"/>
          <w:szCs w:val="24"/>
          <w:rtl w:val="0"/>
        </w:rPr>
        <w:t xml:space="preserve">The new geopolitics of energy. </w:t>
      </w:r>
      <w:r w:rsidDel="00000000" w:rsidR="00000000" w:rsidRPr="00000000">
        <w:rPr>
          <w:rFonts w:ascii="Times New Roman" w:cs="Times New Roman" w:eastAsia="Times New Roman" w:hAnsi="Times New Roman"/>
          <w:sz w:val="24"/>
          <w:szCs w:val="24"/>
          <w:rtl w:val="0"/>
        </w:rPr>
        <w:t xml:space="preserve">set. 2015, p. 1-35. Disponível em: </w:t>
      </w:r>
      <w:hyperlink r:id="rId11">
        <w:r w:rsidDel="00000000" w:rsidR="00000000" w:rsidRPr="00000000">
          <w:rPr>
            <w:rFonts w:ascii="Times New Roman" w:cs="Times New Roman" w:eastAsia="Times New Roman" w:hAnsi="Times New Roman"/>
            <w:color w:val="1155cc"/>
            <w:sz w:val="24"/>
            <w:szCs w:val="24"/>
            <w:u w:val="single"/>
            <w:rtl w:val="0"/>
          </w:rPr>
          <w:t xml:space="preserve">https://legacy-assets.eenews.net/open_files/assets/2015/09/15/document_cw_01.pdf</w:t>
        </w:r>
      </w:hyperlink>
      <w:r w:rsidDel="00000000" w:rsidR="00000000" w:rsidRPr="00000000">
        <w:rPr>
          <w:rFonts w:ascii="Times New Roman" w:cs="Times New Roman" w:eastAsia="Times New Roman" w:hAnsi="Times New Roman"/>
          <w:sz w:val="24"/>
          <w:szCs w:val="24"/>
          <w:rtl w:val="0"/>
        </w:rPr>
        <w:t xml:space="preserve">. Acesso em: 20 jan. 2026.</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PEROVIĆ, J. </w:t>
      </w:r>
      <w:r w:rsidDel="00000000" w:rsidR="00000000" w:rsidRPr="00000000">
        <w:rPr>
          <w:rFonts w:ascii="Times New Roman" w:cs="Times New Roman" w:eastAsia="Times New Roman" w:hAnsi="Times New Roman"/>
          <w:i w:val="1"/>
          <w:iCs w:val="1"/>
          <w:sz w:val="24"/>
          <w:szCs w:val="24"/>
          <w:rtl w:val="0"/>
        </w:rPr>
        <w:t xml:space="preserve">Cold War Energy: A Transnational History of Soviet Oil and Gas.</w:t>
      </w:r>
      <w:r w:rsidDel="00000000" w:rsidR="00000000" w:rsidRPr="00000000">
        <w:rPr>
          <w:rFonts w:ascii="Times New Roman" w:cs="Times New Roman" w:eastAsia="Times New Roman" w:hAnsi="Times New Roman"/>
          <w:sz w:val="24"/>
          <w:szCs w:val="24"/>
          <w:rtl w:val="0"/>
        </w:rPr>
        <w:t xml:space="preserve"> Londres: Palgrave Macmillan, 2017.</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POMERANZ, L. Rússia: a estratégia recente de desenvolvimento econômico-social. In: CARDOSO JÚNIOR, J. C.; SILVA, L. A. DA; MATIJASCIC, M. </w:t>
      </w:r>
      <w:r w:rsidDel="00000000" w:rsidR="00000000" w:rsidRPr="00000000">
        <w:rPr>
          <w:rFonts w:ascii="Times New Roman" w:cs="Times New Roman" w:eastAsia="Times New Roman" w:hAnsi="Times New Roman"/>
          <w:i w:val="1"/>
          <w:iCs w:val="1"/>
          <w:sz w:val="24"/>
          <w:szCs w:val="24"/>
          <w:rtl w:val="0"/>
        </w:rPr>
        <w:t xml:space="preserve">Trajetórias recentes de desenvolvimento: estudos de experiências internacionais selecionadas</w:t>
      </w:r>
      <w:r w:rsidDel="00000000" w:rsidR="00000000" w:rsidRPr="00000000">
        <w:rPr>
          <w:rFonts w:ascii="Times New Roman" w:cs="Times New Roman" w:eastAsia="Times New Roman" w:hAnsi="Times New Roman"/>
          <w:sz w:val="24"/>
          <w:szCs w:val="24"/>
          <w:rtl w:val="0"/>
        </w:rPr>
        <w:t xml:space="preserve">. Brasília, IPEA, 2009. p. 299-342.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POMERANZ, L. </w:t>
      </w:r>
      <w:r w:rsidDel="00000000" w:rsidR="00000000" w:rsidRPr="00000000">
        <w:rPr>
          <w:rFonts w:ascii="Times New Roman" w:cs="Times New Roman" w:eastAsia="Times New Roman" w:hAnsi="Times New Roman"/>
          <w:i w:val="1"/>
          <w:iCs w:val="1"/>
          <w:sz w:val="24"/>
          <w:szCs w:val="24"/>
          <w:rtl w:val="0"/>
        </w:rPr>
        <w:t xml:space="preserve">Do socialismo soviético ao capitalismo russo.</w:t>
      </w:r>
      <w:r w:rsidDel="00000000" w:rsidR="00000000" w:rsidRPr="00000000">
        <w:rPr>
          <w:rFonts w:ascii="Times New Roman" w:cs="Times New Roman" w:eastAsia="Times New Roman" w:hAnsi="Times New Roman"/>
          <w:sz w:val="24"/>
          <w:szCs w:val="24"/>
          <w:rtl w:val="0"/>
        </w:rPr>
        <w:t xml:space="preserve"> São Paulo: Ateliê Editorial, 2018.</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PUTIN, V. V. </w:t>
      </w:r>
      <w:r w:rsidDel="00000000" w:rsidR="00000000" w:rsidRPr="00000000">
        <w:rPr>
          <w:rFonts w:ascii="Times New Roman" w:cs="Times New Roman" w:eastAsia="Times New Roman" w:hAnsi="Times New Roman"/>
          <w:i w:val="1"/>
          <w:iCs w:val="1"/>
          <w:sz w:val="24"/>
          <w:szCs w:val="24"/>
          <w:rtl w:val="0"/>
        </w:rPr>
        <w:t xml:space="preserve">Speech and the Following Discussion at the Munich Conference on Security </w:t>
      </w:r>
      <w:r w:rsidDel="00000000" w:rsidR="00000000" w:rsidRPr="00000000">
        <w:rPr>
          <w:rFonts w:ascii="Times New Roman" w:cs="Times New Roman" w:eastAsia="Times New Roman" w:hAnsi="Times New Roman"/>
          <w:sz w:val="24"/>
          <w:szCs w:val="24"/>
          <w:rtl w:val="0"/>
        </w:rPr>
        <w:t xml:space="preserve">Policy. Moscow, 10 Feb. 2007. Disponível em: http://en.kremlin.ru/events/president/transcripts/24034. Acesso em: 27 jan. 2026.</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PUTIN, V. V.</w:t>
      </w:r>
      <w:r w:rsidDel="00000000" w:rsidR="00000000" w:rsidRPr="00000000">
        <w:rPr>
          <w:rFonts w:ascii="Times New Roman" w:cs="Times New Roman" w:eastAsia="Times New Roman" w:hAnsi="Times New Roman"/>
          <w:i w:val="1"/>
          <w:iCs w:val="1"/>
          <w:sz w:val="24"/>
          <w:szCs w:val="24"/>
          <w:rtl w:val="0"/>
        </w:rPr>
        <w:t xml:space="preserve"> Address by the President of the Russian Federation.</w:t>
      </w:r>
      <w:r w:rsidDel="00000000" w:rsidR="00000000" w:rsidRPr="00000000">
        <w:rPr>
          <w:rFonts w:ascii="Times New Roman" w:cs="Times New Roman" w:eastAsia="Times New Roman" w:hAnsi="Times New Roman"/>
          <w:sz w:val="24"/>
          <w:szCs w:val="24"/>
          <w:rtl w:val="0"/>
        </w:rPr>
        <w:t xml:space="preserve"> Moscow, 18 Mar. 2014. Disponível em: http://en.kremlin.ru/events/president/news/20603. Acesso em: 14 jan. 2024</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SILVA, Sabrina Carlindo et al.</w:t>
      </w:r>
      <w:r w:rsidDel="00000000" w:rsidR="00000000" w:rsidRPr="00000000">
        <w:rPr>
          <w:rFonts w:ascii="Times New Roman" w:cs="Times New Roman" w:eastAsia="Times New Roman" w:hAnsi="Times New Roman"/>
          <w:i w:val="1"/>
          <w:iCs w:val="1"/>
          <w:sz w:val="24"/>
          <w:szCs w:val="24"/>
          <w:rtl w:val="0"/>
        </w:rPr>
        <w:t xml:space="preserve"> Geopolítica da energia no século xxi: o papel das fontes renováveis no cenário internacional.</w:t>
      </w:r>
      <w:r w:rsidDel="00000000" w:rsidR="00000000" w:rsidRPr="00000000">
        <w:rPr>
          <w:rFonts w:ascii="Times New Roman" w:cs="Times New Roman" w:eastAsia="Times New Roman" w:hAnsi="Times New Roman"/>
          <w:sz w:val="24"/>
          <w:szCs w:val="24"/>
          <w:rtl w:val="0"/>
        </w:rPr>
        <w:t xml:space="preserve"> Anais do XVI Encontro Nacional de Pós-Graduação e Pesquisa em Geografia.. Campina Grande: Realize Editora, 2025. Disponível em: https://_dc-mx.9c1c5777875a.conedu.com.br/artigo/visualizar/124448. Acesso em: 29 jan. 2026.</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SCHREURS, M. Implications of the Russian War on Ukraine for Climate Policy and the Geopolitics of Energy. </w:t>
      </w:r>
      <w:r w:rsidDel="00000000" w:rsidR="00000000" w:rsidRPr="00000000">
        <w:rPr>
          <w:rFonts w:ascii="Times New Roman" w:cs="Times New Roman" w:eastAsia="Times New Roman" w:hAnsi="Times New Roman"/>
          <w:i w:val="1"/>
          <w:iCs w:val="1"/>
          <w:sz w:val="24"/>
          <w:szCs w:val="24"/>
          <w:rtl w:val="0"/>
        </w:rPr>
        <w:t xml:space="preserve">Canadian Journal of European and Russian Studies,</w:t>
      </w:r>
      <w:r w:rsidDel="00000000" w:rsidR="00000000" w:rsidRPr="00000000">
        <w:rPr>
          <w:rFonts w:ascii="Times New Roman" w:cs="Times New Roman" w:eastAsia="Times New Roman" w:hAnsi="Times New Roman"/>
          <w:sz w:val="24"/>
          <w:szCs w:val="24"/>
          <w:rtl w:val="0"/>
        </w:rPr>
        <w:t xml:space="preserve"> v. 16, n.2, 2023. Disponível em: </w:t>
      </w:r>
      <w:hyperlink r:id="rId12">
        <w:r w:rsidDel="00000000" w:rsidR="00000000" w:rsidRPr="00000000">
          <w:rPr>
            <w:rFonts w:ascii="Times New Roman" w:cs="Times New Roman" w:eastAsia="Times New Roman" w:hAnsi="Times New Roman"/>
            <w:color w:val="1155cc"/>
            <w:sz w:val="24"/>
            <w:szCs w:val="24"/>
            <w:u w:val="single"/>
            <w:rtl w:val="0"/>
          </w:rPr>
          <w:t xml:space="preserve">https://doi.org/10.22215/cjers.v16i2.2765</w:t>
        </w:r>
      </w:hyperlink>
      <w:r w:rsidDel="00000000" w:rsidR="00000000" w:rsidRPr="00000000">
        <w:rPr>
          <w:rFonts w:ascii="Times New Roman" w:cs="Times New Roman" w:eastAsia="Times New Roman" w:hAnsi="Times New Roman"/>
          <w:sz w:val="24"/>
          <w:szCs w:val="24"/>
          <w:rtl w:val="0"/>
        </w:rPr>
        <w:t xml:space="preserve">. Acesso em 05 fev. 2026.</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SKALAMERA, M. The Geopolitics of Energy after the Invasion of Ukraine.</w:t>
      </w:r>
      <w:r w:rsidDel="00000000" w:rsidR="00000000" w:rsidRPr="00000000">
        <w:rPr>
          <w:rFonts w:ascii="Times New Roman" w:cs="Times New Roman" w:eastAsia="Times New Roman" w:hAnsi="Times New Roman"/>
          <w:i w:val="1"/>
          <w:iCs w:val="1"/>
          <w:sz w:val="24"/>
          <w:szCs w:val="24"/>
          <w:rtl w:val="0"/>
        </w:rPr>
        <w:t xml:space="preserve"> The Washington Quarterly,</w:t>
      </w:r>
      <w:r w:rsidDel="00000000" w:rsidR="00000000" w:rsidRPr="00000000">
        <w:rPr>
          <w:rFonts w:ascii="Times New Roman" w:cs="Times New Roman" w:eastAsia="Times New Roman" w:hAnsi="Times New Roman"/>
          <w:sz w:val="24"/>
          <w:szCs w:val="24"/>
          <w:rtl w:val="0"/>
        </w:rPr>
        <w:t xml:space="preserve"> v. 46, n.1, p. 7-24, 2023. Disponível em:  </w:t>
      </w:r>
      <w:hyperlink r:id="rId13">
        <w:r w:rsidDel="00000000" w:rsidR="00000000" w:rsidRPr="00000000">
          <w:rPr>
            <w:rFonts w:ascii="Times New Roman" w:cs="Times New Roman" w:eastAsia="Times New Roman" w:hAnsi="Times New Roman"/>
            <w:color w:val="1155cc"/>
            <w:sz w:val="24"/>
            <w:szCs w:val="24"/>
            <w:u w:val="single"/>
            <w:rtl w:val="0"/>
          </w:rPr>
          <w:t xml:space="preserve">https://doi.org/10.1080/0163660X.2023.2190632</w:t>
        </w:r>
      </w:hyperlink>
      <w:r w:rsidDel="00000000" w:rsidR="00000000" w:rsidRPr="00000000">
        <w:rPr>
          <w:rFonts w:ascii="Times New Roman" w:cs="Times New Roman" w:eastAsia="Times New Roman" w:hAnsi="Times New Roman"/>
          <w:sz w:val="24"/>
          <w:szCs w:val="24"/>
          <w:rtl w:val="0"/>
        </w:rPr>
        <w:t xml:space="preserve">. Acesso em 28 jan. 2026.</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TORRES FILHO, E. T. Sanções Contra a Rússia: Bomba-dólar, desglobalização e geopolítica. </w:t>
      </w:r>
      <w:r w:rsidDel="00000000" w:rsidR="00000000" w:rsidRPr="00000000">
        <w:rPr>
          <w:rFonts w:ascii="Times New Roman" w:cs="Times New Roman" w:eastAsia="Times New Roman" w:hAnsi="Times New Roman"/>
          <w:i w:val="1"/>
          <w:iCs w:val="1"/>
          <w:sz w:val="24"/>
          <w:szCs w:val="24"/>
          <w:rtl w:val="0"/>
        </w:rPr>
        <w:t xml:space="preserve">Oikos</w:t>
      </w:r>
      <w:r w:rsidDel="00000000" w:rsidR="00000000" w:rsidRPr="00000000">
        <w:rPr>
          <w:rFonts w:ascii="Times New Roman" w:cs="Times New Roman" w:eastAsia="Times New Roman" w:hAnsi="Times New Roman"/>
          <w:sz w:val="24"/>
          <w:szCs w:val="24"/>
          <w:rtl w:val="0"/>
        </w:rPr>
        <w:t xml:space="preserve">, Rio de Janeiro, v. 21, n. 2, p. 73-85, 2022. Disponível em: https://revistas.ufrj.br/index.php/oikos/article/view/52674. Acesso em: 24 jan. 2026.</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TSYGANKOV, A. P. </w:t>
      </w:r>
      <w:r w:rsidDel="00000000" w:rsidR="00000000" w:rsidRPr="00000000">
        <w:rPr>
          <w:rFonts w:ascii="Times New Roman" w:cs="Times New Roman" w:eastAsia="Times New Roman" w:hAnsi="Times New Roman"/>
          <w:i w:val="1"/>
          <w:iCs w:val="1"/>
          <w:sz w:val="24"/>
          <w:szCs w:val="24"/>
          <w:rtl w:val="0"/>
        </w:rPr>
        <w:t xml:space="preserve">Russia’s Foreign Policy: change and continuity in national identity. </w:t>
      </w:r>
      <w:r w:rsidDel="00000000" w:rsidR="00000000" w:rsidRPr="00000000">
        <w:rPr>
          <w:rFonts w:ascii="Times New Roman" w:cs="Times New Roman" w:eastAsia="Times New Roman" w:hAnsi="Times New Roman"/>
          <w:sz w:val="24"/>
          <w:szCs w:val="24"/>
          <w:rtl w:val="0"/>
        </w:rPr>
        <w:t xml:space="preserve">Londres: Rowman &amp; Littlefield, 2019.</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YERGIN, D. </w:t>
      </w:r>
      <w:r w:rsidDel="00000000" w:rsidR="00000000" w:rsidRPr="00000000">
        <w:rPr>
          <w:rFonts w:ascii="Times New Roman" w:cs="Times New Roman" w:eastAsia="Times New Roman" w:hAnsi="Times New Roman"/>
          <w:i w:val="1"/>
          <w:iCs w:val="1"/>
          <w:sz w:val="24"/>
          <w:szCs w:val="24"/>
          <w:rtl w:val="0"/>
        </w:rPr>
        <w:t xml:space="preserve">The Prize: the epic quest for oil, money &amp; power. </w:t>
      </w:r>
      <w:r w:rsidDel="00000000" w:rsidR="00000000" w:rsidRPr="00000000">
        <w:rPr>
          <w:rFonts w:ascii="Times New Roman" w:cs="Times New Roman" w:eastAsia="Times New Roman" w:hAnsi="Times New Roman"/>
          <w:sz w:val="24"/>
          <w:szCs w:val="24"/>
          <w:rtl w:val="0"/>
        </w:rPr>
        <w:t xml:space="preserve">New York: Simon &amp; Schuster, 1991. </w:t>
      </w:r>
    </w:p>
    <w:p w:rsidR="00000000" w:rsidDel="00000000" w:rsidP="00000000" w:rsidRDefault="00000000" w:rsidRPr="00000000" w14:paraId="0000006B">
      <w:pPr>
        <w:spacing w:line="240" w:lineRule="auto"/>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C">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Mestre em Economia Política Internacional pela Universidade Federal do Rio de Janeiro, biancamartinsq@gmail.com.</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legacy-assets.eenews.net/open_files/assets/2015/09/15/document_cw_01.pdf" TargetMode="External"/><Relationship Id="rId10" Type="http://schemas.openxmlformats.org/officeDocument/2006/relationships/hyperlink" Target="https://www.eia.gov/international/content/analysis/countries_long/Russia/pdf/Russia%20CAB_2025.pdf" TargetMode="External"/><Relationship Id="rId13" Type="http://schemas.openxmlformats.org/officeDocument/2006/relationships/hyperlink" Target="https://doi.org/10.1080/0163660X.2023.2190632" TargetMode="External"/><Relationship Id="rId12" Type="http://schemas.openxmlformats.org/officeDocument/2006/relationships/hyperlink" Target="https://doi.org/10.22215/cjers.v16i2.276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iea.org/reports/global-energy-review-2025/oil"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gd1993.substack.com/p/jose-luis-fiori-o-brasil-e-a-n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oB2zNIfJKowbzzXJIPSsy5qSxw==">CgMxLjAyDmgubG01bHFpa3MxMWl6Mg5oLnBjOTVkc2tvaXdhOTIOaC42bG5vNXZydXRoMW8yDmgucm5reDh6cGtzazB0Mg5oLmVrYm5nbTd0ZjBnZzIOaC5qM3llOHRlemdxMDMyDmguYjhsc3YyODN6NXUyOAByITE2ZVBEY3E3eGFvM0pXSmxUd2daRVJsYWhlUXVtLXppcA==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