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5F6AEF" w14:textId="77777777" w:rsidR="0003312E" w:rsidRDefault="0003312E">
      <w:pPr>
        <w:pStyle w:val="NormalWeb"/>
        <w:shd w:val="clear" w:color="auto" w:fill="FFFFFF"/>
        <w:tabs>
          <w:tab w:val="left" w:pos="425"/>
        </w:tabs>
        <w:spacing w:beforeAutospacing="0" w:after="0" w:afterAutospacing="0" w:line="360" w:lineRule="auto"/>
        <w:jc w:val="both"/>
        <w:rPr>
          <w:rFonts w:eastAsia="Segoe UI"/>
          <w:sz w:val="20"/>
          <w:szCs w:val="20"/>
          <w:lang w:val="pt-BR"/>
        </w:rPr>
      </w:pPr>
    </w:p>
    <w:p w14:paraId="289634D5" w14:textId="77777777" w:rsidR="0003312E" w:rsidRDefault="00000000">
      <w:pPr>
        <w:spacing w:after="0" w:line="360" w:lineRule="auto"/>
        <w:ind w:firstLineChars="125" w:firstLine="300"/>
        <w:jc w:val="both"/>
        <w:rPr>
          <w:rFonts w:ascii="Times New Roman" w:hAnsi="Times New Roman" w:cs="Times New Roman"/>
          <w:b/>
          <w:bCs/>
          <w:sz w:val="24"/>
          <w:szCs w:val="24"/>
          <w:lang w:val="en-US"/>
        </w:rPr>
      </w:pPr>
      <w:r>
        <w:rPr>
          <w:rFonts w:ascii="Times New Roman" w:hAnsi="Times New Roman" w:cs="Times New Roman"/>
          <w:noProof/>
          <w:sz w:val="24"/>
          <w:szCs w:val="24"/>
          <w14:ligatures w14:val="none"/>
        </w:rPr>
        <mc:AlternateContent>
          <mc:Choice Requires="wps">
            <w:drawing>
              <wp:anchor distT="0" distB="0" distL="114300" distR="114300" simplePos="0" relativeHeight="251661312" behindDoc="0" locked="0" layoutInCell="1" allowOverlap="1" wp14:anchorId="21593535" wp14:editId="765AEE58">
                <wp:simplePos x="0" y="0"/>
                <wp:positionH relativeFrom="column">
                  <wp:posOffset>1373505</wp:posOffset>
                </wp:positionH>
                <wp:positionV relativeFrom="paragraph">
                  <wp:posOffset>1721485</wp:posOffset>
                </wp:positionV>
                <wp:extent cx="2910840" cy="1402080"/>
                <wp:effectExtent l="0" t="0" r="0" b="0"/>
                <wp:wrapNone/>
                <wp:docPr id="314289708" name="Caixa de Texto 18"/>
                <wp:cNvGraphicFramePr/>
                <a:graphic xmlns:a="http://schemas.openxmlformats.org/drawingml/2006/main">
                  <a:graphicData uri="http://schemas.microsoft.com/office/word/2010/wordprocessingShape">
                    <wps:wsp>
                      <wps:cNvSpPr txBox="1"/>
                      <wps:spPr>
                        <a:xfrm>
                          <a:off x="0" y="0"/>
                          <a:ext cx="2910840" cy="1402080"/>
                        </a:xfrm>
                        <a:prstGeom prst="rect">
                          <a:avLst/>
                        </a:prstGeom>
                        <a:solidFill>
                          <a:schemeClr val="bg1"/>
                        </a:solidFill>
                        <a:ln w="6350">
                          <a:noFill/>
                        </a:ln>
                      </wps:spPr>
                      <wps:txbx>
                        <w:txbxContent>
                          <w:p w14:paraId="25AA578A" w14:textId="77777777" w:rsidR="0003312E" w:rsidRDefault="00000000">
                            <w:r>
                              <w:rPr>
                                <w:noProof/>
                              </w:rPr>
                              <w:drawing>
                                <wp:inline distT="0" distB="0" distL="0" distR="0" wp14:anchorId="56C3E5FD" wp14:editId="345AEC0F">
                                  <wp:extent cx="2969895" cy="1195705"/>
                                  <wp:effectExtent l="19050" t="19050" r="20955" b="23495"/>
                                  <wp:docPr id="1699028148"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028148" name="Imagem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087919" cy="1242970"/>
                                          </a:xfrm>
                                          <a:prstGeom prst="rect">
                                            <a:avLst/>
                                          </a:prstGeom>
                                          <a:solidFill>
                                            <a:schemeClr val="bg1"/>
                                          </a:solidFill>
                                          <a:ln>
                                            <a:solidFill>
                                              <a:schemeClr val="bg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21593535" id="_x0000_t202" coordsize="21600,21600" o:spt="202" path="m,l,21600r21600,l21600,xe">
                <v:stroke joinstyle="miter"/>
                <v:path gradientshapeok="t" o:connecttype="rect"/>
              </v:shapetype>
              <v:shape id="Caixa de Texto 18" o:spid="_x0000_s1026" type="#_x0000_t202" style="position:absolute;left:0;text-align:left;margin-left:108.15pt;margin-top:135.55pt;width:229.2pt;height:110.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0VoFAIAABsEAAAOAAAAZHJzL2Uyb0RvYy54bWysU0uPGyEMvlfqf0Dcm5lJs9tslMkqzSpV&#10;pai7UrbqmTCQQQJMgWQm/fU15NnHqeoFbGz8+Px5+tgbTfbCBwW2ptWgpERYDo2y25p+fV2+G1MS&#10;IrMN02BFTQ8i0MfZ2zfTzk3EEFrQjfAEg9gw6VxN2xjdpCgCb4VhYQBOWDRK8IZFVP22aDzrMLrR&#10;xbAs74sOfOM8cBECvj4djXSW40speHyWMohIdE2xtphPn89NOovZlE22nrlW8VMZ7B+qMExZTHoJ&#10;9cQiIzuv/ghlFPcQQMYBB1OAlIqL3AN2U5W/dbNumRO5FwQnuAtM4f+F5V/2a/fiSew/Qo8DTIB0&#10;LkwCPqZ+eulNurFSgnaE8HCBTfSRcHwcPlTleIQmjrZqVA7LcQa2uH53PsRPAgxJQk09ziXDxfar&#10;EDElup5dUrYAWjVLpXVWEhfEQnuyZzjFzTYXiT9+8dKWdDW9f39X5sAW0vdjZG0xwbWpJMV+0586&#10;3UBzQAA8HLkRHF8qLHLFQnxhHsmAjSHB4zMeUgMmgZNESQv+x9/ekz/OCK2UdEiumobvO+YFJfqz&#10;xek9VKOEV8zK6O7DEBV/a9ncWuzOLAA7r3CVHM9i8o/6LEoP5hvuwTxlRROzHHPXNJ7FRTxSHveI&#10;i/k8OyH/HIsru3Y8hU5IW5jvIkiVJ5JgOmJzQg8ZmAd12pZE8Vs9e113evYTAAD//wMAUEsDBBQA&#10;BgAIAAAAIQBtcWhd3wAAAAsBAAAPAAAAZHJzL2Rvd25yZXYueG1sTI/BToNAEIbvJr7DZky82YVa&#10;wSJLU409m4IHj1t2BCw7S9htizy940lvM5kv//9NvplsL844+s6RgngRgUCqnemoUfBe7e4eQfig&#10;yejeESr4Rg+b4voq15lxF9rjuQyN4BDymVbQhjBkUvq6Rav9wg1IfPt0o9WB17GRZtQXDre9XEZR&#10;Iq3uiBtaPeBLi/WxPFnuddXrcd4GWe1qLJ/Nw/z19jErdXszbZ9ABJzCHwy/+qwOBTsd3ImMF72C&#10;ZZzcM8pDGscgmEjSVQrioGC1jtcgi1z+/6H4AQAA//8DAFBLAQItABQABgAIAAAAIQC2gziS/gAA&#10;AOEBAAATAAAAAAAAAAAAAAAAAAAAAABbQ29udGVudF9UeXBlc10ueG1sUEsBAi0AFAAGAAgAAAAh&#10;ADj9If/WAAAAlAEAAAsAAAAAAAAAAAAAAAAALwEAAF9yZWxzLy5yZWxzUEsBAi0AFAAGAAgAAAAh&#10;AKHDRWgUAgAAGwQAAA4AAAAAAAAAAAAAAAAALgIAAGRycy9lMm9Eb2MueG1sUEsBAi0AFAAGAAgA&#10;AAAhAG1xaF3fAAAACwEAAA8AAAAAAAAAAAAAAAAAbgQAAGRycy9kb3ducmV2LnhtbFBLBQYAAAAA&#10;BAAEAPMAAAB6BQAAAAA=&#10;" fillcolor="white [3212]" stroked="f" strokeweight=".5pt">
                <v:textbox>
                  <w:txbxContent>
                    <w:p w14:paraId="25AA578A" w14:textId="77777777" w:rsidR="0003312E" w:rsidRDefault="00000000">
                      <w:r>
                        <w:rPr>
                          <w:noProof/>
                        </w:rPr>
                        <w:drawing>
                          <wp:inline distT="0" distB="0" distL="0" distR="0" wp14:anchorId="56C3E5FD" wp14:editId="345AEC0F">
                            <wp:extent cx="2969895" cy="1195705"/>
                            <wp:effectExtent l="19050" t="19050" r="20955" b="23495"/>
                            <wp:docPr id="1699028148"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028148" name="Imagem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087919" cy="1242970"/>
                                    </a:xfrm>
                                    <a:prstGeom prst="rect">
                                      <a:avLst/>
                                    </a:prstGeom>
                                    <a:solidFill>
                                      <a:schemeClr val="bg1"/>
                                    </a:solidFill>
                                    <a:ln>
                                      <a:solidFill>
                                        <a:schemeClr val="bg1"/>
                                      </a:solidFill>
                                    </a:ln>
                                  </pic:spPr>
                                </pic:pic>
                              </a:graphicData>
                            </a:graphic>
                          </wp:inline>
                        </w:drawing>
                      </w:r>
                    </w:p>
                  </w:txbxContent>
                </v:textbox>
              </v:shape>
            </w:pict>
          </mc:Fallback>
        </mc:AlternateContent>
      </w:r>
      <w:r>
        <w:rPr>
          <w:rFonts w:ascii="Times New Roman" w:hAnsi="Times New Roman" w:cs="Times New Roman"/>
          <w:noProof/>
          <w:sz w:val="24"/>
          <w:szCs w:val="24"/>
        </w:rPr>
        <w:drawing>
          <wp:inline distT="0" distB="0" distL="0" distR="0" wp14:anchorId="197699BC" wp14:editId="75F48D32">
            <wp:extent cx="5565140" cy="5565140"/>
            <wp:effectExtent l="0" t="0" r="0" b="0"/>
            <wp:docPr id="45100317"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0317" name="Imagem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570826" cy="5570826"/>
                    </a:xfrm>
                    <a:prstGeom prst="rect">
                      <a:avLst/>
                    </a:prstGeom>
                    <a:noFill/>
                    <a:ln>
                      <a:noFill/>
                    </a:ln>
                  </pic:spPr>
                </pic:pic>
              </a:graphicData>
            </a:graphic>
          </wp:inline>
        </w:drawing>
      </w:r>
    </w:p>
    <w:p w14:paraId="25759956" w14:textId="77777777" w:rsidR="0003312E" w:rsidRDefault="0003312E">
      <w:pPr>
        <w:spacing w:after="0" w:line="360" w:lineRule="auto"/>
        <w:ind w:firstLineChars="125" w:firstLine="301"/>
        <w:jc w:val="both"/>
        <w:rPr>
          <w:rFonts w:ascii="Times New Roman" w:hAnsi="Times New Roman" w:cs="Times New Roman"/>
          <w:b/>
          <w:bCs/>
          <w:sz w:val="24"/>
          <w:szCs w:val="24"/>
        </w:rPr>
      </w:pPr>
    </w:p>
    <w:p w14:paraId="2B88366F" w14:textId="77777777" w:rsidR="0003312E" w:rsidRDefault="00000000">
      <w:pPr>
        <w:spacing w:after="0" w:line="360" w:lineRule="auto"/>
        <w:ind w:firstLineChars="125" w:firstLine="301"/>
        <w:jc w:val="right"/>
        <w:rPr>
          <w:rFonts w:ascii="Times New Roman" w:hAnsi="Times New Roman" w:cs="Times New Roman"/>
          <w:b/>
          <w:bCs/>
          <w:sz w:val="24"/>
          <w:szCs w:val="24"/>
        </w:rPr>
      </w:pPr>
      <w:r>
        <w:rPr>
          <w:rFonts w:ascii="Times New Roman" w:hAnsi="Times New Roman" w:cs="Times New Roman"/>
          <w:b/>
          <w:bCs/>
          <w:sz w:val="24"/>
          <w:szCs w:val="24"/>
        </w:rPr>
        <w:t>Marleide da Mota Gomes</w:t>
      </w:r>
      <w:r>
        <w:rPr>
          <w:rFonts w:ascii="Times New Roman" w:hAnsi="Times New Roman" w:cs="Times New Roman"/>
          <w:b/>
          <w:bCs/>
          <w:sz w:val="24"/>
          <w:szCs w:val="24"/>
        </w:rPr>
        <w:br w:type="page"/>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585"/>
        <w:gridCol w:w="486"/>
      </w:tblGrid>
      <w:tr w:rsidR="0003312E" w14:paraId="1246A331" w14:textId="77777777">
        <w:trPr>
          <w:tblHeader/>
        </w:trPr>
        <w:tc>
          <w:tcPr>
            <w:tcW w:w="0" w:type="auto"/>
            <w:tcBorders>
              <w:top w:val="nil"/>
            </w:tcBorders>
            <w:shd w:val="clear" w:color="auto" w:fill="FFFFFF"/>
            <w:tcMar>
              <w:top w:w="150" w:type="dxa"/>
              <w:left w:w="0" w:type="dxa"/>
              <w:bottom w:w="150" w:type="dxa"/>
              <w:right w:w="240" w:type="dxa"/>
            </w:tcMar>
          </w:tcPr>
          <w:p w14:paraId="239D1106" w14:textId="77777777" w:rsidR="0003312E" w:rsidRDefault="00000000">
            <w:pPr>
              <w:spacing w:after="0" w:line="240" w:lineRule="auto"/>
              <w:rPr>
                <w:rFonts w:ascii="Times New Roman" w:hAnsi="Times New Roman" w:cs="Times New Roman"/>
                <w:sz w:val="24"/>
                <w:szCs w:val="24"/>
              </w:rPr>
            </w:pPr>
            <w:r>
              <w:rPr>
                <w:rStyle w:val="Forte"/>
                <w:rFonts w:ascii="Times New Roman" w:hAnsi="Times New Roman" w:cs="Times New Roman"/>
                <w:b w:val="0"/>
                <w:bCs w:val="0"/>
                <w:color w:val="0F1115"/>
                <w:sz w:val="24"/>
                <w:szCs w:val="24"/>
              </w:rPr>
              <w:lastRenderedPageBreak/>
              <w:t>NEUROETIMOLOGIA: A JORNADA DE PALAVRAS QUE EMOLDURAM A MENTE</w:t>
            </w:r>
          </w:p>
        </w:tc>
        <w:tc>
          <w:tcPr>
            <w:tcW w:w="0" w:type="auto"/>
            <w:tcBorders>
              <w:top w:val="nil"/>
            </w:tcBorders>
            <w:shd w:val="clear" w:color="auto" w:fill="FFFFFF"/>
            <w:tcMar>
              <w:top w:w="150" w:type="dxa"/>
              <w:left w:w="240" w:type="dxa"/>
              <w:bottom w:w="150" w:type="dxa"/>
              <w:right w:w="240" w:type="dxa"/>
            </w:tcMar>
            <w:vAlign w:val="center"/>
          </w:tcPr>
          <w:p w14:paraId="5BA2DEB5" w14:textId="77777777" w:rsidR="0003312E" w:rsidRDefault="0003312E">
            <w:pPr>
              <w:spacing w:after="0" w:line="240" w:lineRule="auto"/>
              <w:rPr>
                <w:rFonts w:ascii="Times New Roman" w:hAnsi="Times New Roman" w:cs="Times New Roman"/>
                <w:sz w:val="24"/>
                <w:szCs w:val="24"/>
              </w:rPr>
            </w:pPr>
          </w:p>
        </w:tc>
      </w:tr>
      <w:tr w:rsidR="0003312E" w14:paraId="26D4234E" w14:textId="77777777">
        <w:tc>
          <w:tcPr>
            <w:tcW w:w="0" w:type="auto"/>
            <w:shd w:val="clear" w:color="auto" w:fill="FFFFFF"/>
            <w:tcMar>
              <w:top w:w="150" w:type="dxa"/>
              <w:left w:w="0" w:type="dxa"/>
              <w:bottom w:w="150" w:type="dxa"/>
              <w:right w:w="240" w:type="dxa"/>
            </w:tcMar>
          </w:tcPr>
          <w:p w14:paraId="3AEF55AF" w14:textId="77777777" w:rsidR="0003312E" w:rsidRDefault="00000000">
            <w:pPr>
              <w:spacing w:after="0" w:line="240" w:lineRule="auto"/>
              <w:rPr>
                <w:rFonts w:ascii="Times New Roman" w:hAnsi="Times New Roman" w:cs="Times New Roman"/>
                <w:sz w:val="24"/>
                <w:szCs w:val="24"/>
              </w:rPr>
            </w:pPr>
            <w:r>
              <w:rPr>
                <w:rStyle w:val="Forte"/>
                <w:rFonts w:ascii="Times New Roman" w:hAnsi="Times New Roman" w:cs="Times New Roman"/>
                <w:b w:val="0"/>
                <w:bCs w:val="0"/>
                <w:color w:val="0F1115"/>
                <w:sz w:val="24"/>
                <w:szCs w:val="24"/>
              </w:rPr>
              <w:t>SUMÁRIO</w:t>
            </w:r>
          </w:p>
        </w:tc>
        <w:tc>
          <w:tcPr>
            <w:tcW w:w="0" w:type="auto"/>
            <w:shd w:val="clear" w:color="auto" w:fill="FFFFFF"/>
            <w:tcMar>
              <w:top w:w="150" w:type="dxa"/>
              <w:left w:w="240" w:type="dxa"/>
              <w:bottom w:w="150" w:type="dxa"/>
              <w:right w:w="240" w:type="dxa"/>
            </w:tcMar>
            <w:vAlign w:val="center"/>
          </w:tcPr>
          <w:p w14:paraId="0AB6EDF9" w14:textId="77777777" w:rsidR="0003312E" w:rsidRDefault="0003312E">
            <w:pPr>
              <w:spacing w:after="0" w:line="240" w:lineRule="auto"/>
              <w:rPr>
                <w:rFonts w:ascii="Times New Roman" w:hAnsi="Times New Roman" w:cs="Times New Roman"/>
                <w:sz w:val="24"/>
                <w:szCs w:val="24"/>
              </w:rPr>
            </w:pPr>
          </w:p>
        </w:tc>
      </w:tr>
      <w:tr w:rsidR="0003312E" w14:paraId="74402580" w14:textId="77777777">
        <w:tc>
          <w:tcPr>
            <w:tcW w:w="0" w:type="auto"/>
            <w:shd w:val="clear" w:color="auto" w:fill="FFFFFF"/>
            <w:tcMar>
              <w:top w:w="150" w:type="dxa"/>
              <w:left w:w="0" w:type="dxa"/>
              <w:bottom w:w="150" w:type="dxa"/>
              <w:right w:w="240" w:type="dxa"/>
            </w:tcMar>
          </w:tcPr>
          <w:p w14:paraId="335B2381" w14:textId="77777777" w:rsidR="0003312E" w:rsidRDefault="00000000">
            <w:pPr>
              <w:spacing w:after="0" w:line="240" w:lineRule="auto"/>
              <w:rPr>
                <w:rFonts w:ascii="Times New Roman" w:hAnsi="Times New Roman" w:cs="Times New Roman"/>
                <w:sz w:val="24"/>
                <w:szCs w:val="24"/>
              </w:rPr>
            </w:pPr>
            <w:r>
              <w:rPr>
                <w:rStyle w:val="Forte"/>
                <w:rFonts w:ascii="Times New Roman" w:hAnsi="Times New Roman" w:cs="Times New Roman"/>
                <w:color w:val="0F1115"/>
                <w:sz w:val="24"/>
                <w:szCs w:val="24"/>
              </w:rPr>
              <w:t>Apresentação</w:t>
            </w:r>
            <w:r>
              <w:rPr>
                <w:rFonts w:ascii="Times New Roman" w:hAnsi="Times New Roman" w:cs="Times New Roman"/>
                <w:color w:val="0F1115"/>
                <w:sz w:val="24"/>
                <w:szCs w:val="24"/>
              </w:rPr>
              <w:br/>
            </w:r>
          </w:p>
        </w:tc>
        <w:tc>
          <w:tcPr>
            <w:tcW w:w="0" w:type="auto"/>
            <w:shd w:val="clear" w:color="auto" w:fill="FFFFFF"/>
            <w:tcMar>
              <w:top w:w="150" w:type="dxa"/>
              <w:left w:w="240" w:type="dxa"/>
              <w:bottom w:w="150" w:type="dxa"/>
              <w:right w:w="240" w:type="dxa"/>
            </w:tcMar>
            <w:vAlign w:val="center"/>
          </w:tcPr>
          <w:p w14:paraId="4A6DE03B" w14:textId="77777777" w:rsidR="0003312E" w:rsidRDefault="0003312E">
            <w:pPr>
              <w:spacing w:after="0" w:line="240" w:lineRule="auto"/>
              <w:rPr>
                <w:rFonts w:ascii="Times New Roman" w:hAnsi="Times New Roman" w:cs="Times New Roman"/>
                <w:sz w:val="24"/>
                <w:szCs w:val="24"/>
              </w:rPr>
            </w:pPr>
          </w:p>
        </w:tc>
      </w:tr>
      <w:tr w:rsidR="0003312E" w14:paraId="281AD8B7" w14:textId="77777777">
        <w:tc>
          <w:tcPr>
            <w:tcW w:w="0" w:type="auto"/>
            <w:shd w:val="clear" w:color="auto" w:fill="FFFFFF"/>
            <w:tcMar>
              <w:top w:w="150" w:type="dxa"/>
              <w:left w:w="0" w:type="dxa"/>
              <w:bottom w:w="150" w:type="dxa"/>
              <w:right w:w="240" w:type="dxa"/>
            </w:tcMar>
          </w:tcPr>
          <w:p w14:paraId="5BEB992F" w14:textId="77777777" w:rsidR="0003312E" w:rsidRDefault="00000000">
            <w:pPr>
              <w:spacing w:after="0" w:line="240" w:lineRule="auto"/>
              <w:rPr>
                <w:rFonts w:ascii="Times New Roman" w:hAnsi="Times New Roman" w:cs="Times New Roman"/>
                <w:sz w:val="24"/>
                <w:szCs w:val="24"/>
              </w:rPr>
            </w:pPr>
            <w:r>
              <w:rPr>
                <w:rStyle w:val="Forte"/>
                <w:rFonts w:ascii="Times New Roman" w:hAnsi="Times New Roman" w:cs="Times New Roman"/>
                <w:color w:val="0F1115"/>
                <w:sz w:val="24"/>
                <w:szCs w:val="24"/>
              </w:rPr>
              <w:t>Prefácio: A Palavra como Portal</w:t>
            </w:r>
          </w:p>
        </w:tc>
        <w:tc>
          <w:tcPr>
            <w:tcW w:w="0" w:type="auto"/>
            <w:shd w:val="clear" w:color="auto" w:fill="FFFFFF"/>
            <w:tcMar>
              <w:top w:w="150" w:type="dxa"/>
              <w:left w:w="240" w:type="dxa"/>
              <w:bottom w:w="150" w:type="dxa"/>
              <w:right w:w="240" w:type="dxa"/>
            </w:tcMar>
            <w:vAlign w:val="center"/>
          </w:tcPr>
          <w:p w14:paraId="78607950" w14:textId="77777777" w:rsidR="0003312E" w:rsidRDefault="0003312E">
            <w:pPr>
              <w:spacing w:after="0" w:line="240" w:lineRule="auto"/>
              <w:rPr>
                <w:rFonts w:ascii="Times New Roman" w:hAnsi="Times New Roman" w:cs="Times New Roman"/>
                <w:sz w:val="24"/>
                <w:szCs w:val="24"/>
              </w:rPr>
            </w:pPr>
          </w:p>
        </w:tc>
      </w:tr>
      <w:tr w:rsidR="0003312E" w14:paraId="01EB1592" w14:textId="77777777">
        <w:tc>
          <w:tcPr>
            <w:tcW w:w="0" w:type="auto"/>
            <w:shd w:val="clear" w:color="auto" w:fill="FFFFFF"/>
            <w:tcMar>
              <w:top w:w="150" w:type="dxa"/>
              <w:left w:w="0" w:type="dxa"/>
              <w:bottom w:w="150" w:type="dxa"/>
              <w:right w:w="240" w:type="dxa"/>
            </w:tcMar>
          </w:tcPr>
          <w:p w14:paraId="28F8B8A0" w14:textId="77777777" w:rsidR="0003312E" w:rsidRDefault="00000000">
            <w:pPr>
              <w:spacing w:after="0" w:line="240" w:lineRule="auto"/>
              <w:rPr>
                <w:rFonts w:ascii="Times New Roman" w:hAnsi="Times New Roman" w:cs="Times New Roman"/>
                <w:sz w:val="24"/>
                <w:szCs w:val="24"/>
              </w:rPr>
            </w:pPr>
            <w:r>
              <w:rPr>
                <w:rStyle w:val="Forte"/>
                <w:rFonts w:ascii="Times New Roman" w:hAnsi="Times New Roman" w:cs="Times New Roman"/>
                <w:b w:val="0"/>
                <w:bCs w:val="0"/>
                <w:color w:val="0F1115"/>
                <w:sz w:val="24"/>
                <w:szCs w:val="24"/>
              </w:rPr>
              <w:t>CAPÍTULOS</w:t>
            </w:r>
          </w:p>
        </w:tc>
        <w:tc>
          <w:tcPr>
            <w:tcW w:w="0" w:type="auto"/>
            <w:shd w:val="clear" w:color="auto" w:fill="FFFFFF"/>
            <w:tcMar>
              <w:top w:w="150" w:type="dxa"/>
              <w:left w:w="240" w:type="dxa"/>
              <w:bottom w:w="150" w:type="dxa"/>
              <w:right w:w="240" w:type="dxa"/>
            </w:tcMar>
            <w:vAlign w:val="center"/>
          </w:tcPr>
          <w:p w14:paraId="68CFAB4A" w14:textId="77777777" w:rsidR="0003312E" w:rsidRDefault="0003312E">
            <w:pPr>
              <w:spacing w:after="0" w:line="240" w:lineRule="auto"/>
              <w:rPr>
                <w:rFonts w:ascii="Times New Roman" w:hAnsi="Times New Roman" w:cs="Times New Roman"/>
                <w:sz w:val="24"/>
                <w:szCs w:val="24"/>
              </w:rPr>
            </w:pPr>
          </w:p>
        </w:tc>
      </w:tr>
      <w:tr w:rsidR="0003312E" w14:paraId="26C89909" w14:textId="77777777">
        <w:tc>
          <w:tcPr>
            <w:tcW w:w="0" w:type="auto"/>
            <w:shd w:val="clear" w:color="auto" w:fill="FFFFFF"/>
            <w:tcMar>
              <w:top w:w="150" w:type="dxa"/>
              <w:left w:w="0" w:type="dxa"/>
              <w:bottom w:w="150" w:type="dxa"/>
              <w:right w:w="240" w:type="dxa"/>
            </w:tcMar>
          </w:tcPr>
          <w:p w14:paraId="32A733CB" w14:textId="77777777" w:rsidR="0003312E" w:rsidRDefault="00000000">
            <w:pPr>
              <w:spacing w:after="0" w:line="240" w:lineRule="auto"/>
              <w:rPr>
                <w:rFonts w:ascii="Times New Roman" w:hAnsi="Times New Roman" w:cs="Times New Roman"/>
                <w:sz w:val="24"/>
                <w:szCs w:val="24"/>
              </w:rPr>
            </w:pPr>
            <w:r>
              <w:rPr>
                <w:rStyle w:val="Forte"/>
                <w:rFonts w:ascii="Times New Roman" w:hAnsi="Times New Roman" w:cs="Times New Roman"/>
                <w:color w:val="0F1115"/>
                <w:sz w:val="24"/>
                <w:szCs w:val="24"/>
              </w:rPr>
              <w:t xml:space="preserve">       As Raízes da </w:t>
            </w:r>
            <w:proofErr w:type="spellStart"/>
            <w:r>
              <w:rPr>
                <w:rStyle w:val="Forte"/>
                <w:rFonts w:ascii="Times New Roman" w:hAnsi="Times New Roman" w:cs="Times New Roman"/>
                <w:color w:val="0F1115"/>
                <w:sz w:val="24"/>
                <w:szCs w:val="24"/>
              </w:rPr>
              <w:t>Neuroetimologia</w:t>
            </w:r>
            <w:proofErr w:type="spellEnd"/>
            <w:r>
              <w:rPr>
                <w:rStyle w:val="Forte"/>
                <w:rFonts w:ascii="Times New Roman" w:hAnsi="Times New Roman" w:cs="Times New Roman"/>
                <w:color w:val="0F1115"/>
                <w:sz w:val="24"/>
                <w:szCs w:val="24"/>
              </w:rPr>
              <w:t>: Diálogos entre Palavra e Cérebro</w:t>
            </w:r>
          </w:p>
        </w:tc>
        <w:tc>
          <w:tcPr>
            <w:tcW w:w="0" w:type="auto"/>
            <w:shd w:val="clear" w:color="auto" w:fill="FFFFFF"/>
            <w:tcMar>
              <w:top w:w="150" w:type="dxa"/>
              <w:left w:w="240" w:type="dxa"/>
              <w:bottom w:w="150" w:type="dxa"/>
              <w:right w:w="240" w:type="dxa"/>
            </w:tcMar>
            <w:vAlign w:val="center"/>
          </w:tcPr>
          <w:p w14:paraId="537ABD9A" w14:textId="77777777" w:rsidR="0003312E" w:rsidRDefault="0003312E">
            <w:pPr>
              <w:spacing w:after="0" w:line="240" w:lineRule="auto"/>
              <w:rPr>
                <w:rFonts w:ascii="Times New Roman" w:hAnsi="Times New Roman" w:cs="Times New Roman"/>
                <w:sz w:val="24"/>
                <w:szCs w:val="24"/>
              </w:rPr>
            </w:pPr>
          </w:p>
        </w:tc>
      </w:tr>
      <w:tr w:rsidR="0003312E" w14:paraId="64819BAF" w14:textId="77777777">
        <w:tc>
          <w:tcPr>
            <w:tcW w:w="0" w:type="auto"/>
            <w:shd w:val="clear" w:color="auto" w:fill="FFFFFF"/>
            <w:tcMar>
              <w:top w:w="150" w:type="dxa"/>
              <w:left w:w="0" w:type="dxa"/>
              <w:bottom w:w="150" w:type="dxa"/>
              <w:right w:w="240" w:type="dxa"/>
            </w:tcMar>
          </w:tcPr>
          <w:p w14:paraId="78A3AACF" w14:textId="77777777" w:rsidR="0003312E" w:rsidRDefault="00000000">
            <w:pPr>
              <w:pStyle w:val="PargrafodaLista"/>
              <w:numPr>
                <w:ilvl w:val="0"/>
                <w:numId w:val="1"/>
              </w:numPr>
              <w:spacing w:after="0" w:line="240" w:lineRule="auto"/>
              <w:rPr>
                <w:rFonts w:ascii="Times New Roman" w:hAnsi="Times New Roman" w:cs="Times New Roman"/>
                <w:sz w:val="24"/>
                <w:szCs w:val="24"/>
              </w:rPr>
            </w:pPr>
            <w:r>
              <w:rPr>
                <w:rStyle w:val="Forte"/>
                <w:rFonts w:ascii="Times New Roman" w:hAnsi="Times New Roman" w:cs="Times New Roman"/>
                <w:color w:val="0F1115"/>
                <w:sz w:val="24"/>
                <w:szCs w:val="24"/>
              </w:rPr>
              <w:t xml:space="preserve">Hipnose: Do Deus </w:t>
            </w:r>
            <w:proofErr w:type="spellStart"/>
            <w:r>
              <w:rPr>
                <w:rStyle w:val="Forte"/>
                <w:rFonts w:ascii="Times New Roman" w:hAnsi="Times New Roman" w:cs="Times New Roman"/>
                <w:color w:val="0F1115"/>
                <w:sz w:val="24"/>
                <w:szCs w:val="24"/>
              </w:rPr>
              <w:t>Hypnos</w:t>
            </w:r>
            <w:proofErr w:type="spellEnd"/>
            <w:r>
              <w:rPr>
                <w:rStyle w:val="Forte"/>
                <w:rFonts w:ascii="Times New Roman" w:hAnsi="Times New Roman" w:cs="Times New Roman"/>
                <w:color w:val="0F1115"/>
                <w:sz w:val="24"/>
                <w:szCs w:val="24"/>
              </w:rPr>
              <w:t xml:space="preserve"> à Neurociência da Atenção</w:t>
            </w:r>
          </w:p>
        </w:tc>
        <w:tc>
          <w:tcPr>
            <w:tcW w:w="0" w:type="auto"/>
            <w:shd w:val="clear" w:color="auto" w:fill="FFFFFF"/>
            <w:tcMar>
              <w:top w:w="150" w:type="dxa"/>
              <w:left w:w="240" w:type="dxa"/>
              <w:bottom w:w="150" w:type="dxa"/>
              <w:right w:w="240" w:type="dxa"/>
            </w:tcMar>
            <w:vAlign w:val="center"/>
          </w:tcPr>
          <w:p w14:paraId="39DCBE69" w14:textId="77777777" w:rsidR="0003312E" w:rsidRDefault="0003312E">
            <w:pPr>
              <w:spacing w:after="0" w:line="240" w:lineRule="auto"/>
              <w:rPr>
                <w:rFonts w:ascii="Times New Roman" w:hAnsi="Times New Roman" w:cs="Times New Roman"/>
                <w:sz w:val="24"/>
                <w:szCs w:val="24"/>
              </w:rPr>
            </w:pPr>
          </w:p>
        </w:tc>
      </w:tr>
      <w:tr w:rsidR="0003312E" w14:paraId="6214E6B6" w14:textId="77777777">
        <w:tc>
          <w:tcPr>
            <w:tcW w:w="0" w:type="auto"/>
            <w:shd w:val="clear" w:color="auto" w:fill="FFFFFF"/>
            <w:tcMar>
              <w:top w:w="150" w:type="dxa"/>
              <w:left w:w="0" w:type="dxa"/>
              <w:bottom w:w="150" w:type="dxa"/>
              <w:right w:w="240" w:type="dxa"/>
            </w:tcMar>
          </w:tcPr>
          <w:p w14:paraId="5B3E64BC" w14:textId="77777777" w:rsidR="0003312E" w:rsidRDefault="00000000">
            <w:pPr>
              <w:pStyle w:val="PargrafodaLista"/>
              <w:numPr>
                <w:ilvl w:val="0"/>
                <w:numId w:val="1"/>
              </w:numPr>
              <w:spacing w:after="0" w:line="240" w:lineRule="auto"/>
              <w:rPr>
                <w:rFonts w:ascii="Times New Roman" w:hAnsi="Times New Roman" w:cs="Times New Roman"/>
                <w:sz w:val="24"/>
                <w:szCs w:val="24"/>
              </w:rPr>
            </w:pPr>
            <w:r>
              <w:rPr>
                <w:rStyle w:val="Forte"/>
                <w:rFonts w:ascii="Times New Roman" w:hAnsi="Times New Roman" w:cs="Times New Roman"/>
                <w:color w:val="0F1115"/>
                <w:sz w:val="24"/>
                <w:szCs w:val="24"/>
              </w:rPr>
              <w:t>Coma: O Silêncio do Pensamento</w:t>
            </w:r>
          </w:p>
        </w:tc>
        <w:tc>
          <w:tcPr>
            <w:tcW w:w="0" w:type="auto"/>
            <w:shd w:val="clear" w:color="auto" w:fill="FFFFFF"/>
            <w:tcMar>
              <w:top w:w="150" w:type="dxa"/>
              <w:left w:w="240" w:type="dxa"/>
              <w:bottom w:w="150" w:type="dxa"/>
              <w:right w:w="240" w:type="dxa"/>
            </w:tcMar>
            <w:vAlign w:val="center"/>
          </w:tcPr>
          <w:p w14:paraId="03AB6A2D" w14:textId="77777777" w:rsidR="0003312E" w:rsidRDefault="0003312E">
            <w:pPr>
              <w:spacing w:after="0" w:line="240" w:lineRule="auto"/>
              <w:rPr>
                <w:rFonts w:ascii="Times New Roman" w:hAnsi="Times New Roman" w:cs="Times New Roman"/>
                <w:sz w:val="24"/>
                <w:szCs w:val="24"/>
              </w:rPr>
            </w:pPr>
          </w:p>
        </w:tc>
      </w:tr>
      <w:tr w:rsidR="0003312E" w14:paraId="38D1033D" w14:textId="77777777">
        <w:tc>
          <w:tcPr>
            <w:tcW w:w="0" w:type="auto"/>
            <w:shd w:val="clear" w:color="auto" w:fill="FFFFFF"/>
            <w:tcMar>
              <w:top w:w="150" w:type="dxa"/>
              <w:left w:w="0" w:type="dxa"/>
              <w:bottom w:w="150" w:type="dxa"/>
              <w:right w:w="240" w:type="dxa"/>
            </w:tcMar>
          </w:tcPr>
          <w:p w14:paraId="56E3ADF5" w14:textId="77777777" w:rsidR="0003312E" w:rsidRDefault="00000000">
            <w:pPr>
              <w:pStyle w:val="PargrafodaLista"/>
              <w:numPr>
                <w:ilvl w:val="0"/>
                <w:numId w:val="1"/>
              </w:numPr>
              <w:spacing w:after="0" w:line="240" w:lineRule="auto"/>
              <w:rPr>
                <w:rFonts w:ascii="Times New Roman" w:hAnsi="Times New Roman" w:cs="Times New Roman"/>
                <w:sz w:val="24"/>
                <w:szCs w:val="24"/>
              </w:rPr>
            </w:pPr>
            <w:r>
              <w:rPr>
                <w:rStyle w:val="Forte"/>
                <w:rFonts w:ascii="Times New Roman" w:hAnsi="Times New Roman" w:cs="Times New Roman"/>
                <w:color w:val="0F1115"/>
                <w:sz w:val="24"/>
                <w:szCs w:val="24"/>
              </w:rPr>
              <w:t>Frenesi: O Fogo que Incendeia a Mente</w:t>
            </w:r>
          </w:p>
        </w:tc>
        <w:tc>
          <w:tcPr>
            <w:tcW w:w="0" w:type="auto"/>
            <w:shd w:val="clear" w:color="auto" w:fill="FFFFFF"/>
            <w:tcMar>
              <w:top w:w="150" w:type="dxa"/>
              <w:left w:w="240" w:type="dxa"/>
              <w:bottom w:w="150" w:type="dxa"/>
              <w:right w:w="240" w:type="dxa"/>
            </w:tcMar>
            <w:vAlign w:val="center"/>
          </w:tcPr>
          <w:p w14:paraId="779561AC" w14:textId="77777777" w:rsidR="0003312E" w:rsidRDefault="0003312E">
            <w:pPr>
              <w:spacing w:after="0" w:line="240" w:lineRule="auto"/>
              <w:rPr>
                <w:rFonts w:ascii="Times New Roman" w:hAnsi="Times New Roman" w:cs="Times New Roman"/>
                <w:sz w:val="24"/>
                <w:szCs w:val="24"/>
              </w:rPr>
            </w:pPr>
          </w:p>
        </w:tc>
      </w:tr>
      <w:tr w:rsidR="0003312E" w14:paraId="61B056B6" w14:textId="77777777">
        <w:tc>
          <w:tcPr>
            <w:tcW w:w="0" w:type="auto"/>
            <w:shd w:val="clear" w:color="auto" w:fill="FFFFFF"/>
            <w:tcMar>
              <w:top w:w="150" w:type="dxa"/>
              <w:left w:w="0" w:type="dxa"/>
              <w:bottom w:w="150" w:type="dxa"/>
              <w:right w:w="240" w:type="dxa"/>
            </w:tcMar>
          </w:tcPr>
          <w:p w14:paraId="45760976" w14:textId="77777777" w:rsidR="0003312E" w:rsidRDefault="00000000">
            <w:pPr>
              <w:pStyle w:val="PargrafodaLista"/>
              <w:numPr>
                <w:ilvl w:val="0"/>
                <w:numId w:val="1"/>
              </w:numPr>
              <w:spacing w:after="0" w:line="240" w:lineRule="auto"/>
              <w:rPr>
                <w:rFonts w:ascii="Times New Roman" w:hAnsi="Times New Roman" w:cs="Times New Roman"/>
                <w:sz w:val="24"/>
                <w:szCs w:val="24"/>
              </w:rPr>
            </w:pPr>
            <w:r>
              <w:rPr>
                <w:rStyle w:val="Forte"/>
                <w:rFonts w:ascii="Times New Roman" w:hAnsi="Times New Roman" w:cs="Times New Roman"/>
                <w:color w:val="0F1115"/>
                <w:sz w:val="24"/>
                <w:szCs w:val="24"/>
              </w:rPr>
              <w:t>Melancolia: A Cidade Subterrânea</w:t>
            </w:r>
          </w:p>
        </w:tc>
        <w:tc>
          <w:tcPr>
            <w:tcW w:w="0" w:type="auto"/>
            <w:shd w:val="clear" w:color="auto" w:fill="FFFFFF"/>
            <w:tcMar>
              <w:top w:w="150" w:type="dxa"/>
              <w:left w:w="240" w:type="dxa"/>
              <w:bottom w:w="150" w:type="dxa"/>
              <w:right w:w="240" w:type="dxa"/>
            </w:tcMar>
            <w:vAlign w:val="center"/>
          </w:tcPr>
          <w:p w14:paraId="5C55C696" w14:textId="77777777" w:rsidR="0003312E" w:rsidRDefault="0003312E">
            <w:pPr>
              <w:spacing w:after="0" w:line="240" w:lineRule="auto"/>
              <w:rPr>
                <w:rFonts w:ascii="Times New Roman" w:hAnsi="Times New Roman" w:cs="Times New Roman"/>
                <w:sz w:val="24"/>
                <w:szCs w:val="24"/>
              </w:rPr>
            </w:pPr>
          </w:p>
        </w:tc>
      </w:tr>
      <w:tr w:rsidR="0003312E" w14:paraId="1B95266A" w14:textId="77777777">
        <w:tc>
          <w:tcPr>
            <w:tcW w:w="0" w:type="auto"/>
            <w:shd w:val="clear" w:color="auto" w:fill="FFFFFF"/>
            <w:tcMar>
              <w:top w:w="150" w:type="dxa"/>
              <w:left w:w="0" w:type="dxa"/>
              <w:bottom w:w="150" w:type="dxa"/>
              <w:right w:w="240" w:type="dxa"/>
            </w:tcMar>
          </w:tcPr>
          <w:p w14:paraId="44FB6560" w14:textId="77777777" w:rsidR="0003312E" w:rsidRDefault="00000000">
            <w:pPr>
              <w:pStyle w:val="PargrafodaLista"/>
              <w:numPr>
                <w:ilvl w:val="0"/>
                <w:numId w:val="1"/>
              </w:numPr>
              <w:spacing w:after="0" w:line="240" w:lineRule="auto"/>
              <w:rPr>
                <w:rFonts w:ascii="Times New Roman" w:hAnsi="Times New Roman" w:cs="Times New Roman"/>
                <w:sz w:val="24"/>
                <w:szCs w:val="24"/>
              </w:rPr>
            </w:pPr>
            <w:r>
              <w:rPr>
                <w:rStyle w:val="Forte"/>
                <w:rFonts w:ascii="Times New Roman" w:hAnsi="Times New Roman" w:cs="Times New Roman"/>
                <w:color w:val="0F1115"/>
                <w:sz w:val="24"/>
                <w:szCs w:val="24"/>
              </w:rPr>
              <w:t>Êxtase: A Fusão do Eu com o Infinito</w:t>
            </w:r>
          </w:p>
        </w:tc>
        <w:tc>
          <w:tcPr>
            <w:tcW w:w="0" w:type="auto"/>
            <w:shd w:val="clear" w:color="auto" w:fill="FFFFFF"/>
            <w:tcMar>
              <w:top w:w="150" w:type="dxa"/>
              <w:left w:w="240" w:type="dxa"/>
              <w:bottom w:w="150" w:type="dxa"/>
              <w:right w:w="240" w:type="dxa"/>
            </w:tcMar>
            <w:vAlign w:val="center"/>
          </w:tcPr>
          <w:p w14:paraId="7B6CE4DF" w14:textId="77777777" w:rsidR="0003312E" w:rsidRDefault="0003312E">
            <w:pPr>
              <w:spacing w:after="0" w:line="240" w:lineRule="auto"/>
              <w:rPr>
                <w:rFonts w:ascii="Times New Roman" w:hAnsi="Times New Roman" w:cs="Times New Roman"/>
                <w:sz w:val="24"/>
                <w:szCs w:val="24"/>
              </w:rPr>
            </w:pPr>
          </w:p>
        </w:tc>
      </w:tr>
      <w:tr w:rsidR="0003312E" w14:paraId="6423BC8F" w14:textId="77777777">
        <w:tc>
          <w:tcPr>
            <w:tcW w:w="0" w:type="auto"/>
            <w:shd w:val="clear" w:color="auto" w:fill="FFFFFF"/>
            <w:tcMar>
              <w:top w:w="150" w:type="dxa"/>
              <w:left w:w="0" w:type="dxa"/>
              <w:bottom w:w="150" w:type="dxa"/>
              <w:right w:w="240" w:type="dxa"/>
            </w:tcMar>
          </w:tcPr>
          <w:p w14:paraId="43EF7D76" w14:textId="77777777" w:rsidR="0003312E" w:rsidRDefault="00000000">
            <w:pPr>
              <w:pStyle w:val="PargrafodaLista"/>
              <w:numPr>
                <w:ilvl w:val="0"/>
                <w:numId w:val="1"/>
              </w:numPr>
              <w:spacing w:after="0" w:line="240" w:lineRule="auto"/>
              <w:rPr>
                <w:rFonts w:ascii="Times New Roman" w:hAnsi="Times New Roman" w:cs="Times New Roman"/>
                <w:sz w:val="24"/>
                <w:szCs w:val="24"/>
              </w:rPr>
            </w:pPr>
            <w:r>
              <w:rPr>
                <w:rStyle w:val="Forte"/>
                <w:rFonts w:ascii="Times New Roman" w:eastAsia="Segoe UI" w:hAnsi="Times New Roman" w:cs="Times New Roman"/>
                <w:color w:val="0F1115"/>
                <w:sz w:val="24"/>
                <w:szCs w:val="24"/>
                <w:shd w:val="clear" w:color="auto" w:fill="FFFFFF"/>
              </w:rPr>
              <w:t>Delírio: Sair do Sulco do Pensamento</w:t>
            </w:r>
          </w:p>
        </w:tc>
        <w:tc>
          <w:tcPr>
            <w:tcW w:w="0" w:type="auto"/>
            <w:shd w:val="clear" w:color="auto" w:fill="FFFFFF"/>
            <w:tcMar>
              <w:top w:w="150" w:type="dxa"/>
              <w:left w:w="240" w:type="dxa"/>
              <w:bottom w:w="150" w:type="dxa"/>
              <w:right w:w="240" w:type="dxa"/>
            </w:tcMar>
            <w:vAlign w:val="center"/>
          </w:tcPr>
          <w:p w14:paraId="55ACE03F" w14:textId="77777777" w:rsidR="0003312E" w:rsidRDefault="0003312E">
            <w:pPr>
              <w:spacing w:after="0" w:line="240" w:lineRule="auto"/>
              <w:rPr>
                <w:rFonts w:ascii="Times New Roman" w:hAnsi="Times New Roman" w:cs="Times New Roman"/>
                <w:sz w:val="24"/>
                <w:szCs w:val="24"/>
              </w:rPr>
            </w:pPr>
          </w:p>
        </w:tc>
      </w:tr>
      <w:tr w:rsidR="0003312E" w14:paraId="2881717E" w14:textId="77777777">
        <w:tc>
          <w:tcPr>
            <w:tcW w:w="0" w:type="auto"/>
            <w:shd w:val="clear" w:color="auto" w:fill="FFFFFF"/>
            <w:tcMar>
              <w:top w:w="150" w:type="dxa"/>
              <w:left w:w="0" w:type="dxa"/>
              <w:bottom w:w="150" w:type="dxa"/>
              <w:right w:w="240" w:type="dxa"/>
            </w:tcMar>
          </w:tcPr>
          <w:p w14:paraId="4A059476" w14:textId="77777777" w:rsidR="0003312E" w:rsidRDefault="00000000">
            <w:pPr>
              <w:pStyle w:val="PargrafodaLista"/>
              <w:numPr>
                <w:ilvl w:val="0"/>
                <w:numId w:val="1"/>
              </w:numPr>
              <w:spacing w:after="0" w:line="240" w:lineRule="auto"/>
              <w:rPr>
                <w:rFonts w:ascii="Times New Roman" w:hAnsi="Times New Roman" w:cs="Times New Roman"/>
                <w:sz w:val="24"/>
                <w:szCs w:val="24"/>
              </w:rPr>
            </w:pPr>
            <w:r>
              <w:rPr>
                <w:rStyle w:val="Forte"/>
                <w:rFonts w:ascii="Times New Roman" w:hAnsi="Times New Roman" w:cs="Times New Roman"/>
                <w:color w:val="0F1115"/>
                <w:sz w:val="24"/>
                <w:szCs w:val="24"/>
              </w:rPr>
              <w:t>Histeria: Quando o Corpo Fala o que a Mente Cala</w:t>
            </w:r>
          </w:p>
        </w:tc>
        <w:tc>
          <w:tcPr>
            <w:tcW w:w="0" w:type="auto"/>
            <w:shd w:val="clear" w:color="auto" w:fill="FFFFFF"/>
            <w:tcMar>
              <w:top w:w="150" w:type="dxa"/>
              <w:left w:w="240" w:type="dxa"/>
              <w:bottom w:w="150" w:type="dxa"/>
              <w:right w:w="240" w:type="dxa"/>
            </w:tcMar>
            <w:vAlign w:val="center"/>
          </w:tcPr>
          <w:p w14:paraId="531D5CE4" w14:textId="77777777" w:rsidR="0003312E" w:rsidRDefault="0003312E">
            <w:pPr>
              <w:spacing w:after="0" w:line="240" w:lineRule="auto"/>
              <w:rPr>
                <w:rFonts w:ascii="Times New Roman" w:hAnsi="Times New Roman" w:cs="Times New Roman"/>
                <w:sz w:val="24"/>
                <w:szCs w:val="24"/>
              </w:rPr>
            </w:pPr>
          </w:p>
        </w:tc>
      </w:tr>
      <w:tr w:rsidR="0003312E" w14:paraId="45F2792C" w14:textId="77777777">
        <w:tc>
          <w:tcPr>
            <w:tcW w:w="0" w:type="auto"/>
            <w:shd w:val="clear" w:color="auto" w:fill="FFFFFF"/>
            <w:tcMar>
              <w:top w:w="150" w:type="dxa"/>
              <w:left w:w="0" w:type="dxa"/>
              <w:bottom w:w="150" w:type="dxa"/>
              <w:right w:w="240" w:type="dxa"/>
            </w:tcMar>
          </w:tcPr>
          <w:p w14:paraId="08EBC060" w14:textId="77777777" w:rsidR="0003312E" w:rsidRDefault="00000000">
            <w:pPr>
              <w:pStyle w:val="PargrafodaLista"/>
              <w:numPr>
                <w:ilvl w:val="0"/>
                <w:numId w:val="1"/>
              </w:numPr>
              <w:spacing w:after="0" w:line="240" w:lineRule="auto"/>
              <w:rPr>
                <w:rFonts w:ascii="Times New Roman" w:hAnsi="Times New Roman" w:cs="Times New Roman"/>
                <w:sz w:val="24"/>
                <w:szCs w:val="24"/>
              </w:rPr>
            </w:pPr>
            <w:r>
              <w:rPr>
                <w:rStyle w:val="Forte"/>
                <w:rFonts w:ascii="Times New Roman" w:hAnsi="Times New Roman" w:cs="Times New Roman"/>
                <w:color w:val="0F1115"/>
                <w:sz w:val="24"/>
                <w:szCs w:val="24"/>
              </w:rPr>
              <w:t>Neurastenia: O Cansaço de uma Era</w:t>
            </w:r>
          </w:p>
        </w:tc>
        <w:tc>
          <w:tcPr>
            <w:tcW w:w="0" w:type="auto"/>
            <w:shd w:val="clear" w:color="auto" w:fill="FFFFFF"/>
            <w:tcMar>
              <w:top w:w="150" w:type="dxa"/>
              <w:left w:w="240" w:type="dxa"/>
              <w:bottom w:w="150" w:type="dxa"/>
              <w:right w:w="240" w:type="dxa"/>
            </w:tcMar>
            <w:vAlign w:val="center"/>
          </w:tcPr>
          <w:p w14:paraId="573FCEEF" w14:textId="77777777" w:rsidR="0003312E" w:rsidRDefault="0003312E">
            <w:pPr>
              <w:spacing w:after="0" w:line="240" w:lineRule="auto"/>
              <w:rPr>
                <w:rFonts w:ascii="Times New Roman" w:hAnsi="Times New Roman" w:cs="Times New Roman"/>
                <w:sz w:val="24"/>
                <w:szCs w:val="24"/>
              </w:rPr>
            </w:pPr>
          </w:p>
        </w:tc>
      </w:tr>
      <w:tr w:rsidR="0003312E" w14:paraId="62BD3AA5" w14:textId="77777777">
        <w:tc>
          <w:tcPr>
            <w:tcW w:w="0" w:type="auto"/>
            <w:shd w:val="clear" w:color="auto" w:fill="FFFFFF"/>
            <w:tcMar>
              <w:top w:w="150" w:type="dxa"/>
              <w:left w:w="0" w:type="dxa"/>
              <w:bottom w:w="150" w:type="dxa"/>
              <w:right w:w="240" w:type="dxa"/>
            </w:tcMar>
          </w:tcPr>
          <w:p w14:paraId="021F585E" w14:textId="77777777" w:rsidR="0003312E" w:rsidRDefault="00000000">
            <w:pPr>
              <w:pStyle w:val="PargrafodaLista"/>
              <w:numPr>
                <w:ilvl w:val="0"/>
                <w:numId w:val="1"/>
              </w:numPr>
              <w:spacing w:after="0" w:line="240" w:lineRule="auto"/>
              <w:rPr>
                <w:rFonts w:ascii="Times New Roman" w:hAnsi="Times New Roman" w:cs="Times New Roman"/>
                <w:sz w:val="24"/>
                <w:szCs w:val="24"/>
              </w:rPr>
            </w:pPr>
            <w:r>
              <w:rPr>
                <w:rStyle w:val="Forte"/>
                <w:rFonts w:ascii="Times New Roman" w:hAnsi="Times New Roman" w:cs="Times New Roman"/>
                <w:color w:val="0F1115"/>
                <w:sz w:val="24"/>
                <w:szCs w:val="24"/>
              </w:rPr>
              <w:t>Ansiedade: O Aperto que Molda a Existência</w:t>
            </w:r>
          </w:p>
        </w:tc>
        <w:tc>
          <w:tcPr>
            <w:tcW w:w="0" w:type="auto"/>
            <w:shd w:val="clear" w:color="auto" w:fill="FFFFFF"/>
            <w:tcMar>
              <w:top w:w="150" w:type="dxa"/>
              <w:left w:w="240" w:type="dxa"/>
              <w:bottom w:w="150" w:type="dxa"/>
              <w:right w:w="240" w:type="dxa"/>
            </w:tcMar>
            <w:vAlign w:val="center"/>
          </w:tcPr>
          <w:p w14:paraId="078DB74A" w14:textId="77777777" w:rsidR="0003312E" w:rsidRDefault="0003312E">
            <w:pPr>
              <w:spacing w:after="0" w:line="240" w:lineRule="auto"/>
              <w:rPr>
                <w:rFonts w:ascii="Times New Roman" w:hAnsi="Times New Roman" w:cs="Times New Roman"/>
                <w:sz w:val="24"/>
                <w:szCs w:val="24"/>
              </w:rPr>
            </w:pPr>
          </w:p>
        </w:tc>
      </w:tr>
      <w:tr w:rsidR="0003312E" w14:paraId="75E9C4A5" w14:textId="77777777">
        <w:tc>
          <w:tcPr>
            <w:tcW w:w="0" w:type="auto"/>
            <w:shd w:val="clear" w:color="auto" w:fill="FFFFFF"/>
            <w:tcMar>
              <w:top w:w="150" w:type="dxa"/>
              <w:left w:w="0" w:type="dxa"/>
              <w:bottom w:w="150" w:type="dxa"/>
              <w:right w:w="240" w:type="dxa"/>
            </w:tcMar>
          </w:tcPr>
          <w:p w14:paraId="107FB596" w14:textId="77777777" w:rsidR="0003312E" w:rsidRDefault="00000000">
            <w:pPr>
              <w:pStyle w:val="PargrafodaLista"/>
              <w:numPr>
                <w:ilvl w:val="0"/>
                <w:numId w:val="1"/>
              </w:numPr>
              <w:spacing w:after="0" w:line="240" w:lineRule="auto"/>
              <w:rPr>
                <w:rFonts w:ascii="Times New Roman" w:hAnsi="Times New Roman" w:cs="Times New Roman"/>
                <w:sz w:val="24"/>
                <w:szCs w:val="24"/>
              </w:rPr>
            </w:pPr>
            <w:r>
              <w:rPr>
                <w:rStyle w:val="Forte"/>
                <w:rFonts w:ascii="Times New Roman" w:hAnsi="Times New Roman" w:cs="Times New Roman"/>
                <w:color w:val="0F1115"/>
                <w:sz w:val="24"/>
                <w:szCs w:val="24"/>
              </w:rPr>
              <w:t>Eutimia: Da Serenidade Grega ao Equilíbrio Clínico</w:t>
            </w:r>
          </w:p>
        </w:tc>
        <w:tc>
          <w:tcPr>
            <w:tcW w:w="0" w:type="auto"/>
            <w:shd w:val="clear" w:color="auto" w:fill="FFFFFF"/>
            <w:tcMar>
              <w:top w:w="150" w:type="dxa"/>
              <w:left w:w="240" w:type="dxa"/>
              <w:bottom w:w="150" w:type="dxa"/>
              <w:right w:w="240" w:type="dxa"/>
            </w:tcMar>
            <w:vAlign w:val="center"/>
          </w:tcPr>
          <w:p w14:paraId="0E65E408" w14:textId="77777777" w:rsidR="0003312E" w:rsidRDefault="0003312E">
            <w:pPr>
              <w:spacing w:after="0" w:line="240" w:lineRule="auto"/>
              <w:rPr>
                <w:rFonts w:ascii="Times New Roman" w:hAnsi="Times New Roman" w:cs="Times New Roman"/>
                <w:sz w:val="24"/>
                <w:szCs w:val="24"/>
              </w:rPr>
            </w:pPr>
          </w:p>
        </w:tc>
      </w:tr>
      <w:tr w:rsidR="0003312E" w14:paraId="37FA3B2A" w14:textId="77777777">
        <w:tc>
          <w:tcPr>
            <w:tcW w:w="0" w:type="auto"/>
            <w:shd w:val="clear" w:color="auto" w:fill="FFFFFF"/>
            <w:tcMar>
              <w:top w:w="150" w:type="dxa"/>
              <w:left w:w="0" w:type="dxa"/>
              <w:bottom w:w="150" w:type="dxa"/>
              <w:right w:w="240" w:type="dxa"/>
            </w:tcMar>
          </w:tcPr>
          <w:p w14:paraId="2429E18F" w14:textId="77777777" w:rsidR="0003312E" w:rsidRDefault="00000000">
            <w:pPr>
              <w:spacing w:after="0" w:line="240" w:lineRule="auto"/>
              <w:rPr>
                <w:rFonts w:ascii="Times New Roman" w:hAnsi="Times New Roman" w:cs="Times New Roman"/>
                <w:sz w:val="24"/>
                <w:szCs w:val="24"/>
              </w:rPr>
            </w:pPr>
            <w:r>
              <w:rPr>
                <w:rStyle w:val="Forte"/>
                <w:rFonts w:ascii="Times New Roman" w:hAnsi="Times New Roman" w:cs="Times New Roman"/>
                <w:color w:val="0F1115"/>
                <w:sz w:val="24"/>
                <w:szCs w:val="24"/>
              </w:rPr>
              <w:t xml:space="preserve">      Epílogo: O Cérebro Etimológico: Palavras como Fósseis Vivos</w:t>
            </w:r>
            <w:r>
              <w:rPr>
                <w:rFonts w:ascii="Times New Roman" w:hAnsi="Times New Roman" w:cs="Times New Roman"/>
                <w:color w:val="0F1115"/>
                <w:sz w:val="24"/>
                <w:szCs w:val="24"/>
              </w:rPr>
              <w:br/>
            </w:r>
          </w:p>
        </w:tc>
        <w:tc>
          <w:tcPr>
            <w:tcW w:w="0" w:type="auto"/>
            <w:shd w:val="clear" w:color="auto" w:fill="FFFFFF"/>
            <w:tcMar>
              <w:top w:w="150" w:type="dxa"/>
              <w:left w:w="240" w:type="dxa"/>
              <w:bottom w:w="150" w:type="dxa"/>
              <w:right w:w="240" w:type="dxa"/>
            </w:tcMar>
            <w:vAlign w:val="center"/>
          </w:tcPr>
          <w:p w14:paraId="75BEE8E9" w14:textId="77777777" w:rsidR="0003312E" w:rsidRDefault="0003312E">
            <w:pPr>
              <w:spacing w:after="0" w:line="240" w:lineRule="auto"/>
              <w:rPr>
                <w:rFonts w:ascii="Times New Roman" w:hAnsi="Times New Roman" w:cs="Times New Roman"/>
                <w:sz w:val="24"/>
                <w:szCs w:val="24"/>
              </w:rPr>
            </w:pPr>
          </w:p>
        </w:tc>
      </w:tr>
      <w:tr w:rsidR="0003312E" w14:paraId="45485C20" w14:textId="77777777">
        <w:tc>
          <w:tcPr>
            <w:tcW w:w="0" w:type="auto"/>
            <w:shd w:val="clear" w:color="auto" w:fill="FFFFFF"/>
            <w:tcMar>
              <w:top w:w="150" w:type="dxa"/>
              <w:left w:w="0" w:type="dxa"/>
              <w:bottom w:w="150" w:type="dxa"/>
              <w:right w:w="240" w:type="dxa"/>
            </w:tcMar>
          </w:tcPr>
          <w:p w14:paraId="15BC924D" w14:textId="77777777" w:rsidR="0003312E" w:rsidRDefault="00000000">
            <w:pPr>
              <w:spacing w:after="0" w:line="240" w:lineRule="auto"/>
              <w:rPr>
                <w:rStyle w:val="Forte"/>
                <w:rFonts w:ascii="Times New Roman" w:hAnsi="Times New Roman" w:cs="Times New Roman"/>
                <w:color w:val="0F1115"/>
                <w:sz w:val="24"/>
                <w:szCs w:val="24"/>
              </w:rPr>
            </w:pPr>
            <w:r>
              <w:rPr>
                <w:rStyle w:val="Forte"/>
                <w:rFonts w:ascii="Times New Roman" w:hAnsi="Times New Roman" w:cs="Times New Roman"/>
                <w:color w:val="0F1115"/>
                <w:sz w:val="24"/>
                <w:szCs w:val="24"/>
              </w:rPr>
              <w:t>Referências</w:t>
            </w:r>
          </w:p>
        </w:tc>
        <w:tc>
          <w:tcPr>
            <w:tcW w:w="0" w:type="auto"/>
            <w:shd w:val="clear" w:color="auto" w:fill="FFFFFF"/>
            <w:tcMar>
              <w:top w:w="150" w:type="dxa"/>
              <w:left w:w="240" w:type="dxa"/>
              <w:bottom w:w="150" w:type="dxa"/>
              <w:right w:w="240" w:type="dxa"/>
            </w:tcMar>
            <w:vAlign w:val="center"/>
          </w:tcPr>
          <w:p w14:paraId="7E4557DB" w14:textId="77777777" w:rsidR="0003312E" w:rsidRDefault="0003312E">
            <w:pPr>
              <w:spacing w:after="0" w:line="240" w:lineRule="auto"/>
              <w:rPr>
                <w:rFonts w:ascii="Times New Roman" w:hAnsi="Times New Roman" w:cs="Times New Roman"/>
                <w:sz w:val="24"/>
                <w:szCs w:val="24"/>
              </w:rPr>
            </w:pPr>
          </w:p>
        </w:tc>
      </w:tr>
      <w:tr w:rsidR="0003312E" w14:paraId="2061904A" w14:textId="77777777">
        <w:tc>
          <w:tcPr>
            <w:tcW w:w="0" w:type="auto"/>
            <w:shd w:val="clear" w:color="auto" w:fill="FFFFFF"/>
            <w:tcMar>
              <w:top w:w="150" w:type="dxa"/>
              <w:left w:w="0" w:type="dxa"/>
              <w:bottom w:w="150" w:type="dxa"/>
              <w:right w:w="240" w:type="dxa"/>
            </w:tcMar>
          </w:tcPr>
          <w:p w14:paraId="0403234D" w14:textId="77777777" w:rsidR="0003312E" w:rsidRDefault="00000000">
            <w:pPr>
              <w:spacing w:after="0" w:line="240" w:lineRule="auto"/>
              <w:rPr>
                <w:rFonts w:ascii="Times New Roman" w:hAnsi="Times New Roman" w:cs="Times New Roman"/>
                <w:sz w:val="24"/>
                <w:szCs w:val="24"/>
              </w:rPr>
            </w:pPr>
            <w:r>
              <w:rPr>
                <w:rStyle w:val="Forte"/>
                <w:rFonts w:ascii="Times New Roman" w:hAnsi="Times New Roman" w:cs="Times New Roman"/>
                <w:color w:val="0F1115"/>
                <w:sz w:val="24"/>
                <w:szCs w:val="24"/>
              </w:rPr>
              <w:t>Glossário</w:t>
            </w:r>
          </w:p>
        </w:tc>
        <w:tc>
          <w:tcPr>
            <w:tcW w:w="0" w:type="auto"/>
            <w:shd w:val="clear" w:color="auto" w:fill="FFFFFF"/>
            <w:tcMar>
              <w:top w:w="150" w:type="dxa"/>
              <w:left w:w="240" w:type="dxa"/>
              <w:bottom w:w="150" w:type="dxa"/>
              <w:right w:w="240" w:type="dxa"/>
            </w:tcMar>
            <w:vAlign w:val="center"/>
          </w:tcPr>
          <w:p w14:paraId="076DF520" w14:textId="77777777" w:rsidR="0003312E" w:rsidRDefault="0003312E">
            <w:pPr>
              <w:spacing w:after="0" w:line="240" w:lineRule="auto"/>
              <w:rPr>
                <w:rFonts w:ascii="Times New Roman" w:hAnsi="Times New Roman" w:cs="Times New Roman"/>
                <w:sz w:val="24"/>
                <w:szCs w:val="24"/>
              </w:rPr>
            </w:pPr>
          </w:p>
        </w:tc>
      </w:tr>
    </w:tbl>
    <w:p w14:paraId="59E91B2E" w14:textId="77777777" w:rsidR="0003312E" w:rsidRDefault="0003312E">
      <w:pPr>
        <w:spacing w:after="0" w:line="240" w:lineRule="auto"/>
        <w:ind w:firstLine="709"/>
        <w:jc w:val="both"/>
        <w:rPr>
          <w:rFonts w:ascii="Times New Roman" w:eastAsiaTheme="majorEastAsia" w:hAnsi="Times New Roman" w:cs="Times New Roman"/>
          <w:b/>
          <w:bCs/>
        </w:rPr>
      </w:pPr>
    </w:p>
    <w:p w14:paraId="5EC4ABAB" w14:textId="77777777" w:rsidR="0003312E" w:rsidRDefault="00000000">
      <w:pPr>
        <w:spacing w:after="0" w:line="240" w:lineRule="auto"/>
        <w:rPr>
          <w:rFonts w:ascii="Times New Roman" w:eastAsiaTheme="majorEastAsia" w:hAnsi="Times New Roman" w:cs="Times New Roman"/>
          <w:b/>
          <w:bCs/>
        </w:rPr>
      </w:pPr>
      <w:r>
        <w:rPr>
          <w:rFonts w:ascii="Times New Roman" w:eastAsiaTheme="majorEastAsia" w:hAnsi="Times New Roman" w:cs="Times New Roman"/>
          <w:b/>
          <w:bCs/>
        </w:rPr>
        <w:br w:type="page"/>
      </w:r>
    </w:p>
    <w:p w14:paraId="39FAB7E8" w14:textId="77777777" w:rsidR="0003312E" w:rsidRDefault="00000000">
      <w:pPr>
        <w:spacing w:after="0" w:line="240" w:lineRule="auto"/>
        <w:ind w:firstLine="709"/>
        <w:jc w:val="both"/>
        <w:rPr>
          <w:rFonts w:ascii="Times New Roman" w:eastAsiaTheme="majorEastAsia" w:hAnsi="Times New Roman" w:cs="Times New Roman"/>
          <w:b/>
          <w:bCs/>
        </w:rPr>
      </w:pPr>
      <w:r>
        <w:rPr>
          <w:rFonts w:ascii="Times New Roman" w:eastAsiaTheme="majorEastAsia" w:hAnsi="Times New Roman" w:cs="Times New Roman"/>
          <w:b/>
          <w:bCs/>
        </w:rPr>
        <w:lastRenderedPageBreak/>
        <w:t>Apresentação</w:t>
      </w:r>
    </w:p>
    <w:p w14:paraId="626E11A0" w14:textId="77777777" w:rsidR="0003312E" w:rsidRDefault="00000000">
      <w:pPr>
        <w:spacing w:after="0" w:line="240" w:lineRule="auto"/>
        <w:ind w:firstLine="709"/>
        <w:jc w:val="both"/>
        <w:rPr>
          <w:rFonts w:ascii="Times New Roman" w:eastAsiaTheme="majorEastAsia" w:hAnsi="Times New Roman" w:cs="Times New Roman"/>
        </w:rPr>
      </w:pPr>
      <w:r>
        <w:rPr>
          <w:rFonts w:ascii="Times New Roman" w:eastAsiaTheme="majorEastAsia" w:hAnsi="Times New Roman" w:cs="Times New Roman"/>
        </w:rPr>
        <w:t>É com muita satisfação que apresento esta obra singular: "</w:t>
      </w:r>
      <w:proofErr w:type="spellStart"/>
      <w:r>
        <w:rPr>
          <w:rFonts w:ascii="Times New Roman" w:eastAsiaTheme="majorEastAsia" w:hAnsi="Times New Roman" w:cs="Times New Roman"/>
        </w:rPr>
        <w:t>Neuroetimologia</w:t>
      </w:r>
      <w:proofErr w:type="spellEnd"/>
      <w:r>
        <w:rPr>
          <w:rFonts w:ascii="Times New Roman" w:eastAsiaTheme="majorEastAsia" w:hAnsi="Times New Roman" w:cs="Times New Roman"/>
        </w:rPr>
        <w:t xml:space="preserve">: A Jornada de Palavras que Emolduraram a Mente". Trata-se de um trabalho corajoso e necessário, nascido da trajetória acadêmica </w:t>
      </w:r>
      <w:proofErr w:type="gramStart"/>
      <w:r>
        <w:rPr>
          <w:rFonts w:ascii="Times New Roman" w:eastAsiaTheme="majorEastAsia" w:hAnsi="Times New Roman" w:cs="Times New Roman"/>
        </w:rPr>
        <w:t>da  Professora</w:t>
      </w:r>
      <w:proofErr w:type="gramEnd"/>
      <w:r>
        <w:rPr>
          <w:rFonts w:ascii="Times New Roman" w:eastAsiaTheme="majorEastAsia" w:hAnsi="Times New Roman" w:cs="Times New Roman"/>
        </w:rPr>
        <w:t xml:space="preserve"> Marleide da Mota Gomes, que, sem abandonar o rigor científico que sempre marcou sua carreira, nos presenteia com uma incursão original e instigante pelas Humanidades Médicas. </w:t>
      </w:r>
    </w:p>
    <w:p w14:paraId="33A718DE" w14:textId="77777777" w:rsidR="0003312E" w:rsidRDefault="00000000">
      <w:pPr>
        <w:spacing w:after="0" w:line="240" w:lineRule="auto"/>
        <w:ind w:firstLine="709"/>
        <w:jc w:val="both"/>
        <w:rPr>
          <w:rFonts w:ascii="Times New Roman" w:eastAsiaTheme="majorEastAsia" w:hAnsi="Times New Roman" w:cs="Times New Roman"/>
        </w:rPr>
      </w:pPr>
      <w:r>
        <w:rPr>
          <w:rFonts w:ascii="Times New Roman" w:eastAsiaTheme="majorEastAsia" w:hAnsi="Times New Roman" w:cs="Times New Roman"/>
        </w:rPr>
        <w:t xml:space="preserve">Este não é um glossário ou um tratado de história da medicina. Consegue colocar entre dois universos que, por muito tempo, caminharam separados a neurologia de precisão e a riqueza interpretativa das humanidades. A força do projeto está em seu conceito central: a </w:t>
      </w:r>
      <w:proofErr w:type="spellStart"/>
      <w:r>
        <w:rPr>
          <w:rFonts w:ascii="Times New Roman" w:eastAsiaTheme="majorEastAsia" w:hAnsi="Times New Roman" w:cs="Times New Roman"/>
        </w:rPr>
        <w:t>neuroetimologia</w:t>
      </w:r>
      <w:proofErr w:type="spellEnd"/>
      <w:r>
        <w:rPr>
          <w:rFonts w:ascii="Times New Roman" w:eastAsiaTheme="majorEastAsia" w:hAnsi="Times New Roman" w:cs="Times New Roman"/>
        </w:rPr>
        <w:t>, que investiga como a história das palavras que nomeiam a mente e é moldada por - nosso entendimento científico e cultural. Cada termo é um "fóssil linguístico" que encapsula teorias ancestrais e intuições profundas sobre quem somos.</w:t>
      </w:r>
    </w:p>
    <w:p w14:paraId="2C71CC26" w14:textId="77777777" w:rsidR="0003312E" w:rsidRDefault="00000000">
      <w:pPr>
        <w:spacing w:after="0" w:line="240" w:lineRule="auto"/>
        <w:ind w:firstLine="709"/>
        <w:jc w:val="both"/>
        <w:rPr>
          <w:rFonts w:ascii="Times New Roman" w:eastAsiaTheme="majorEastAsia" w:hAnsi="Times New Roman" w:cs="Times New Roman"/>
        </w:rPr>
      </w:pPr>
      <w:r>
        <w:rPr>
          <w:rFonts w:ascii="Times New Roman" w:eastAsiaTheme="majorEastAsia" w:hAnsi="Times New Roman" w:cs="Times New Roman"/>
        </w:rPr>
        <w:t>Descobrir, por exemplo, que “delírio” vem do ato de “sair do sulco do arado” ou que “histeria” nasce da ideia de um “útero errante” não é um exercício de erudição vazia. É, antes, uma ferramenta clínica poderosa, capaz de desnaturalizar o jargão e resgatar a narrativa que está na origem do nosso próprio pensamento.</w:t>
      </w:r>
    </w:p>
    <w:p w14:paraId="24B19CEE" w14:textId="77777777" w:rsidR="0003312E" w:rsidRDefault="00000000">
      <w:pPr>
        <w:spacing w:after="0" w:line="240" w:lineRule="auto"/>
        <w:ind w:firstLine="709"/>
        <w:jc w:val="both"/>
        <w:rPr>
          <w:rFonts w:ascii="Times New Roman" w:eastAsiaTheme="majorEastAsia" w:hAnsi="Times New Roman" w:cs="Times New Roman"/>
        </w:rPr>
      </w:pPr>
      <w:r>
        <w:rPr>
          <w:rFonts w:ascii="Times New Roman" w:eastAsiaTheme="majorEastAsia" w:hAnsi="Times New Roman" w:cs="Times New Roman"/>
        </w:rPr>
        <w:t>A estrutura do livro é um convite ao deleite intelectual. Cada capítulo é uma viagem guiada por quatro dimensões: a etimológica, a histórico-clínica, a neurocientífica e a poético-filosófica, desvendando estados liminares da consciência, do silêncio do coma ao arrebatamento do êxtase. A autora não se limita a analisar termos; ela os encarna por meio de figuras arquetípicas, como Van Gogh no delírio ou Santa Teresa no êxtase, mostrando experiências que moldaram e foram moldadas pela cultura.</w:t>
      </w:r>
    </w:p>
    <w:p w14:paraId="4CDE291B" w14:textId="77777777" w:rsidR="0003312E" w:rsidRDefault="00000000">
      <w:pPr>
        <w:spacing w:after="0" w:line="240" w:lineRule="auto"/>
        <w:ind w:firstLine="709"/>
        <w:jc w:val="both"/>
        <w:rPr>
          <w:rFonts w:ascii="Times New Roman" w:eastAsiaTheme="majorEastAsia" w:hAnsi="Times New Roman" w:cs="Times New Roman"/>
        </w:rPr>
      </w:pPr>
      <w:r>
        <w:rPr>
          <w:rFonts w:ascii="Times New Roman" w:eastAsiaTheme="majorEastAsia" w:hAnsi="Times New Roman" w:cs="Times New Roman"/>
        </w:rPr>
        <w:t>Esta obra é um convite à humildade e ao enriquecimento da própria prática. Ela nos lembra que o cérebro que mapeamos com exames sofisticados como a ressonância magnética e eletroencefalograma é o mesmo que produziu a filosofia de Nietzsche e a pintura de Van Gogh. O rigor científico não é negado, mas sim contextualizado por uma tradição humanística que lhe confere significado mais profundo.</w:t>
      </w:r>
    </w:p>
    <w:p w14:paraId="01DBD810" w14:textId="77777777" w:rsidR="0003312E" w:rsidRDefault="00000000">
      <w:pPr>
        <w:spacing w:after="0" w:line="240" w:lineRule="auto"/>
        <w:ind w:firstLine="709"/>
        <w:jc w:val="both"/>
        <w:rPr>
          <w:rFonts w:ascii="Times New Roman" w:eastAsiaTheme="majorEastAsia" w:hAnsi="Times New Roman" w:cs="Times New Roman"/>
        </w:rPr>
      </w:pPr>
      <w:r>
        <w:rPr>
          <w:rFonts w:ascii="Times New Roman" w:eastAsiaTheme="majorEastAsia" w:hAnsi="Times New Roman" w:cs="Times New Roman"/>
        </w:rPr>
        <w:t>O leitor verificará com a leitura desta obra a viagem das palavras do cotidiano da linguagem médica. Em nosso meio é um trabalho pioneiro, explicando com minúcias a origem das palavras rotineiras usadas por nós da área da saúde e para aqueles que desejam incrementar sua bagagem cultural.</w:t>
      </w:r>
    </w:p>
    <w:p w14:paraId="69FC9CD3" w14:textId="77777777" w:rsidR="0003312E" w:rsidRDefault="00000000">
      <w:pPr>
        <w:spacing w:after="0" w:line="240" w:lineRule="auto"/>
        <w:ind w:firstLine="709"/>
        <w:jc w:val="both"/>
        <w:rPr>
          <w:rFonts w:ascii="Times New Roman" w:eastAsiaTheme="majorEastAsia" w:hAnsi="Times New Roman" w:cs="Times New Roman"/>
        </w:rPr>
      </w:pPr>
      <w:r>
        <w:rPr>
          <w:rFonts w:ascii="Times New Roman" w:eastAsiaTheme="majorEastAsia" w:hAnsi="Times New Roman" w:cs="Times New Roman"/>
        </w:rPr>
        <w:t>Portanto, este livro não é um desvio da neurologia, mas o seu aprofundamento máximo. É uma obra para neurologistas, psiquiatras, médicos estudantes, médicos residentes, mestrandos e doutorandos e para todos que se fascinam pelos mistérios da consciência. Um livro que nos faz mais sábios, mais reflexivos e, sem dúvida, melhores clínicos e humanistas. Boa leitura.</w:t>
      </w:r>
    </w:p>
    <w:p w14:paraId="1B1941A5" w14:textId="77777777" w:rsidR="0003312E" w:rsidRDefault="0003312E">
      <w:pPr>
        <w:spacing w:after="0" w:line="240" w:lineRule="auto"/>
        <w:ind w:firstLine="709"/>
        <w:jc w:val="both"/>
        <w:rPr>
          <w:rFonts w:ascii="Times New Roman" w:eastAsiaTheme="majorEastAsia" w:hAnsi="Times New Roman" w:cs="Times New Roman"/>
        </w:rPr>
      </w:pPr>
    </w:p>
    <w:p w14:paraId="32F80C24" w14:textId="77777777" w:rsidR="0003312E" w:rsidRDefault="00000000">
      <w:pPr>
        <w:spacing w:after="0" w:line="240" w:lineRule="auto"/>
        <w:ind w:firstLine="709"/>
        <w:jc w:val="both"/>
        <w:rPr>
          <w:rFonts w:ascii="Times New Roman" w:eastAsiaTheme="majorEastAsia" w:hAnsi="Times New Roman" w:cs="Times New Roman"/>
        </w:rPr>
      </w:pPr>
      <w:r>
        <w:rPr>
          <w:rFonts w:ascii="Times New Roman" w:eastAsiaTheme="majorEastAsia" w:hAnsi="Times New Roman" w:cs="Times New Roman"/>
        </w:rPr>
        <w:t>Professor Marcos Raimundo Gomes de Freitas, professor Emérito da Universidade Federal Fluminense</w:t>
      </w:r>
    </w:p>
    <w:p w14:paraId="70F69991" w14:textId="77777777" w:rsidR="0003312E" w:rsidRDefault="00000000">
      <w:pPr>
        <w:spacing w:after="0" w:line="240" w:lineRule="auto"/>
        <w:ind w:firstLine="709"/>
        <w:jc w:val="both"/>
        <w:rPr>
          <w:rFonts w:ascii="Times New Roman" w:eastAsiaTheme="majorEastAsia" w:hAnsi="Times New Roman" w:cs="Times New Roman"/>
        </w:rPr>
      </w:pPr>
      <w:r>
        <w:rPr>
          <w:rFonts w:ascii="Times New Roman" w:eastAsiaTheme="majorEastAsia" w:hAnsi="Times New Roman" w:cs="Times New Roman"/>
        </w:rPr>
        <w:t xml:space="preserve"> </w:t>
      </w:r>
    </w:p>
    <w:p w14:paraId="3F6E3D5F" w14:textId="77777777" w:rsidR="0003312E" w:rsidRDefault="0003312E">
      <w:pPr>
        <w:spacing w:after="0" w:line="240" w:lineRule="auto"/>
        <w:ind w:firstLine="709"/>
        <w:jc w:val="both"/>
        <w:rPr>
          <w:rFonts w:ascii="Times New Roman" w:eastAsiaTheme="majorEastAsia" w:hAnsi="Times New Roman" w:cs="Times New Roman"/>
        </w:rPr>
      </w:pPr>
    </w:p>
    <w:p w14:paraId="03353C5C" w14:textId="77777777" w:rsidR="0003312E" w:rsidRDefault="00000000">
      <w:pPr>
        <w:spacing w:after="0" w:line="240" w:lineRule="auto"/>
        <w:rPr>
          <w:rFonts w:ascii="Times New Roman" w:eastAsiaTheme="majorEastAsia" w:hAnsi="Times New Roman" w:cs="Times New Roman"/>
          <w:b/>
          <w:bCs/>
        </w:rPr>
      </w:pPr>
      <w:r>
        <w:rPr>
          <w:rFonts w:ascii="Times New Roman" w:eastAsiaTheme="majorEastAsia" w:hAnsi="Times New Roman" w:cs="Times New Roman"/>
          <w:b/>
          <w:bCs/>
        </w:rPr>
        <w:br w:type="page"/>
      </w:r>
    </w:p>
    <w:p w14:paraId="2C59368B" w14:textId="77777777" w:rsidR="0003312E" w:rsidRDefault="00000000">
      <w:pPr>
        <w:spacing w:after="0" w:line="240" w:lineRule="auto"/>
        <w:rPr>
          <w:rFonts w:ascii="Times New Roman" w:eastAsiaTheme="majorEastAsia" w:hAnsi="Times New Roman" w:cs="Times New Roman"/>
          <w:b/>
          <w:bCs/>
        </w:rPr>
      </w:pPr>
      <w:r>
        <w:rPr>
          <w:rFonts w:ascii="Times New Roman" w:eastAsiaTheme="majorEastAsia" w:hAnsi="Times New Roman" w:cs="Times New Roman"/>
          <w:b/>
          <w:bCs/>
        </w:rPr>
        <w:lastRenderedPageBreak/>
        <w:t>Prefácio: A Palavra como Portal</w:t>
      </w:r>
    </w:p>
    <w:p w14:paraId="758E30E9" w14:textId="77777777" w:rsidR="0003312E" w:rsidRDefault="00000000">
      <w:pPr>
        <w:spacing w:after="0" w:line="240" w:lineRule="auto"/>
        <w:ind w:firstLine="709"/>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Na experiência do ensino médico, pode surgir um instante revelador: durante uma aula, ao mencionar que </w:t>
      </w:r>
      <w:r>
        <w:rPr>
          <w:rFonts w:ascii="Times New Roman" w:eastAsiaTheme="majorEastAsia" w:hAnsi="Times New Roman" w:cs="Times New Roman"/>
          <w:i/>
          <w:iCs/>
          <w:sz w:val="24"/>
          <w:szCs w:val="24"/>
        </w:rPr>
        <w:t>delírio</w:t>
      </w:r>
      <w:r>
        <w:rPr>
          <w:rFonts w:ascii="Times New Roman" w:eastAsiaTheme="majorEastAsia" w:hAnsi="Times New Roman" w:cs="Times New Roman"/>
          <w:sz w:val="24"/>
          <w:szCs w:val="24"/>
        </w:rPr>
        <w:t xml:space="preserve"> vem do latim </w:t>
      </w:r>
      <w:proofErr w:type="spellStart"/>
      <w:r>
        <w:rPr>
          <w:rFonts w:ascii="Times New Roman" w:eastAsiaTheme="majorEastAsia" w:hAnsi="Times New Roman" w:cs="Times New Roman"/>
          <w:i/>
          <w:iCs/>
          <w:sz w:val="24"/>
          <w:szCs w:val="24"/>
        </w:rPr>
        <w:t>de-lirare</w:t>
      </w:r>
      <w:proofErr w:type="spellEnd"/>
      <w:r>
        <w:rPr>
          <w:rFonts w:ascii="Times New Roman" w:eastAsiaTheme="majorEastAsia" w:hAnsi="Times New Roman" w:cs="Times New Roman"/>
          <w:sz w:val="24"/>
          <w:szCs w:val="24"/>
        </w:rPr>
        <w:t xml:space="preserve">, “sair do sulco do arado”, um estudante percebe de súbito a imagem escondida no termo e exclama: </w:t>
      </w:r>
      <w:r>
        <w:rPr>
          <w:rFonts w:ascii="Times New Roman" w:eastAsiaTheme="majorEastAsia" w:hAnsi="Times New Roman" w:cs="Times New Roman"/>
          <w:i/>
          <w:iCs/>
          <w:sz w:val="24"/>
          <w:szCs w:val="24"/>
        </w:rPr>
        <w:t>“Então delirar é como perder o caminho traçado!”</w:t>
      </w:r>
      <w:r>
        <w:rPr>
          <w:rFonts w:ascii="Times New Roman" w:eastAsiaTheme="majorEastAsia" w:hAnsi="Times New Roman" w:cs="Times New Roman"/>
          <w:sz w:val="24"/>
          <w:szCs w:val="24"/>
        </w:rPr>
        <w:t xml:space="preserve">. Nesse lampejo, a terminologia médica deixa de ser mero jargão técnico e transforma-se em arquivo vivo de metáforas, crenças e intuições que moldaram a história do pensamento clínico. É desse tipo de </w:t>
      </w:r>
      <w:proofErr w:type="gramStart"/>
      <w:r>
        <w:rPr>
          <w:rFonts w:ascii="Times New Roman" w:eastAsiaTheme="majorEastAsia" w:hAnsi="Times New Roman" w:cs="Times New Roman"/>
          <w:sz w:val="24"/>
          <w:szCs w:val="24"/>
        </w:rPr>
        <w:t>revelação  -</w:t>
      </w:r>
      <w:proofErr w:type="gramEnd"/>
      <w:r>
        <w:rPr>
          <w:rFonts w:ascii="Times New Roman" w:eastAsiaTheme="majorEastAsia" w:hAnsi="Times New Roman" w:cs="Times New Roman"/>
          <w:sz w:val="24"/>
          <w:szCs w:val="24"/>
        </w:rPr>
        <w:t xml:space="preserve">  em que a palavra se abre como portal de </w:t>
      </w:r>
      <w:proofErr w:type="gramStart"/>
      <w:r>
        <w:rPr>
          <w:rFonts w:ascii="Times New Roman" w:eastAsiaTheme="majorEastAsia" w:hAnsi="Times New Roman" w:cs="Times New Roman"/>
          <w:sz w:val="24"/>
          <w:szCs w:val="24"/>
        </w:rPr>
        <w:t>sentido  -</w:t>
      </w:r>
      <w:proofErr w:type="gramEnd"/>
      <w:r>
        <w:rPr>
          <w:rFonts w:ascii="Times New Roman" w:eastAsiaTheme="majorEastAsia" w:hAnsi="Times New Roman" w:cs="Times New Roman"/>
          <w:sz w:val="24"/>
          <w:szCs w:val="24"/>
        </w:rPr>
        <w:t xml:space="preserve">  que nasceu este projeto.</w:t>
      </w:r>
    </w:p>
    <w:p w14:paraId="6AF7573F" w14:textId="77777777" w:rsidR="0003312E" w:rsidRDefault="00000000">
      <w:pPr>
        <w:spacing w:after="0" w:line="240" w:lineRule="auto"/>
        <w:ind w:firstLine="709"/>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Foi na intersecção entre o rigor da clínica e a poética das palavras que se enraíza </w:t>
      </w:r>
      <w:proofErr w:type="spellStart"/>
      <w:r>
        <w:rPr>
          <w:rFonts w:ascii="Times New Roman" w:eastAsiaTheme="majorEastAsia" w:hAnsi="Times New Roman" w:cs="Times New Roman"/>
          <w:i/>
          <w:iCs/>
          <w:sz w:val="24"/>
          <w:szCs w:val="24"/>
        </w:rPr>
        <w:t>Neuroetimologia</w:t>
      </w:r>
      <w:proofErr w:type="spellEnd"/>
      <w:r>
        <w:rPr>
          <w:rFonts w:ascii="Times New Roman" w:eastAsiaTheme="majorEastAsia" w:hAnsi="Times New Roman" w:cs="Times New Roman"/>
          <w:i/>
          <w:iCs/>
          <w:sz w:val="24"/>
          <w:szCs w:val="24"/>
        </w:rPr>
        <w:t>: A Jornada de Palavras que Emolduram a Mente</w:t>
      </w:r>
      <w:r>
        <w:rPr>
          <w:rFonts w:ascii="Times New Roman" w:eastAsiaTheme="majorEastAsia" w:hAnsi="Times New Roman" w:cs="Times New Roman"/>
          <w:sz w:val="24"/>
          <w:szCs w:val="24"/>
        </w:rPr>
        <w:t>. Esta obra parte da convicção de que compreender a origem dos termos que nomeiam a mente e o sistema nervoso é também compreender a própria neurologia. Termos como “delírio”, “êxtase”, “ansiedade” ou “demência” não são meros rótulos neutros: são vestígios linguísticos que guardam teorias antigas, metáforas esquecidas e intuições profundas sobre a natureza humana. Cada diagnóstico encerra uma teoria, cada sintoma carrega uma cosmovisão.</w:t>
      </w:r>
    </w:p>
    <w:p w14:paraId="2DDB0ECA" w14:textId="77777777" w:rsidR="0003312E" w:rsidRDefault="00000000">
      <w:pPr>
        <w:spacing w:after="0" w:line="240" w:lineRule="auto"/>
        <w:ind w:firstLine="709"/>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Este livro propõe uma mudança de perspectiva. Convido o leitor a abandonar a visão de palavras como “neurônio” ou “hipocampo” como instrumentos inertes e a vê-las como pequenas narrativas. Que lições pode a neurociência extrair do fato de que </w:t>
      </w:r>
      <w:r>
        <w:rPr>
          <w:rFonts w:ascii="Times New Roman" w:eastAsiaTheme="majorEastAsia" w:hAnsi="Times New Roman" w:cs="Times New Roman"/>
          <w:i/>
          <w:iCs/>
          <w:sz w:val="24"/>
          <w:szCs w:val="24"/>
        </w:rPr>
        <w:t>neurônio</w:t>
      </w:r>
      <w:r>
        <w:rPr>
          <w:rFonts w:ascii="Times New Roman" w:eastAsiaTheme="majorEastAsia" w:hAnsi="Times New Roman" w:cs="Times New Roman"/>
          <w:sz w:val="24"/>
          <w:szCs w:val="24"/>
        </w:rPr>
        <w:t xml:space="preserve"> deriva do grego </w:t>
      </w:r>
      <w:proofErr w:type="spellStart"/>
      <w:r>
        <w:rPr>
          <w:rFonts w:ascii="Times New Roman" w:eastAsiaTheme="majorEastAsia" w:hAnsi="Times New Roman" w:cs="Times New Roman"/>
          <w:i/>
          <w:iCs/>
          <w:sz w:val="24"/>
          <w:szCs w:val="24"/>
        </w:rPr>
        <w:t>neûron</w:t>
      </w:r>
      <w:proofErr w:type="spellEnd"/>
      <w:r>
        <w:rPr>
          <w:rFonts w:ascii="Times New Roman" w:eastAsiaTheme="majorEastAsia" w:hAnsi="Times New Roman" w:cs="Times New Roman"/>
          <w:sz w:val="24"/>
          <w:szCs w:val="24"/>
        </w:rPr>
        <w:t xml:space="preserve">, “corda, tendão”? Que imagens evoca o “cavalo-marinho” do hipocampo sobre a memória? Como a metáfora da “corda” para o neurônio ressoa nas concepções modernas de redes neurais? Esta </w:t>
      </w:r>
      <w:proofErr w:type="gramStart"/>
      <w:r>
        <w:rPr>
          <w:rFonts w:ascii="Times New Roman" w:eastAsiaTheme="majorEastAsia" w:hAnsi="Times New Roman" w:cs="Times New Roman"/>
          <w:sz w:val="24"/>
          <w:szCs w:val="24"/>
        </w:rPr>
        <w:t>abordagem  -</w:t>
      </w:r>
      <w:proofErr w:type="gramEnd"/>
      <w:r>
        <w:rPr>
          <w:rFonts w:ascii="Times New Roman" w:eastAsiaTheme="majorEastAsia" w:hAnsi="Times New Roman" w:cs="Times New Roman"/>
          <w:sz w:val="24"/>
          <w:szCs w:val="24"/>
        </w:rPr>
        <w:t xml:space="preserve">  que chamo de </w:t>
      </w:r>
      <w:proofErr w:type="spellStart"/>
      <w:proofErr w:type="gramStart"/>
      <w:r>
        <w:rPr>
          <w:rFonts w:ascii="Times New Roman" w:eastAsiaTheme="majorEastAsia" w:hAnsi="Times New Roman" w:cs="Times New Roman"/>
          <w:sz w:val="24"/>
          <w:szCs w:val="24"/>
        </w:rPr>
        <w:t>Neuroetimologia</w:t>
      </w:r>
      <w:proofErr w:type="spellEnd"/>
      <w:r>
        <w:rPr>
          <w:rFonts w:ascii="Times New Roman" w:eastAsiaTheme="majorEastAsia" w:hAnsi="Times New Roman" w:cs="Times New Roman"/>
          <w:sz w:val="24"/>
          <w:szCs w:val="24"/>
        </w:rPr>
        <w:t xml:space="preserve">  -</w:t>
      </w:r>
      <w:proofErr w:type="gramEnd"/>
      <w:r>
        <w:rPr>
          <w:rFonts w:ascii="Times New Roman" w:eastAsiaTheme="majorEastAsia" w:hAnsi="Times New Roman" w:cs="Times New Roman"/>
          <w:sz w:val="24"/>
          <w:szCs w:val="24"/>
        </w:rPr>
        <w:t xml:space="preserve">  não é exercício de erudição ociosa. É uma ferramenta para desnaturalizar o jargão científico, transformar o aprendizado em narrativa e construir pontes entre aspectos </w:t>
      </w:r>
      <w:r>
        <w:rPr>
          <w:rFonts w:ascii="Times New Roman" w:eastAsia="Segoe UI" w:hAnsi="Times New Roman" w:cs="Times New Roman"/>
          <w:sz w:val="24"/>
          <w:szCs w:val="24"/>
          <w:shd w:val="clear" w:color="auto" w:fill="FFFFFF"/>
          <w:lang w:eastAsia="zh-CN"/>
        </w:rPr>
        <w:t>etimológicos, histórico-clínicos, neurocientíficos e poético-filosóficos</w:t>
      </w:r>
      <w:r>
        <w:rPr>
          <w:rFonts w:ascii="Times New Roman" w:eastAsiaTheme="majorEastAsia" w:hAnsi="Times New Roman" w:cs="Times New Roman"/>
          <w:sz w:val="24"/>
          <w:szCs w:val="24"/>
        </w:rPr>
        <w:t>.</w:t>
      </w:r>
    </w:p>
    <w:p w14:paraId="47D31B72" w14:textId="77777777" w:rsidR="0003312E" w:rsidRDefault="00000000">
      <w:pPr>
        <w:spacing w:after="0" w:line="240" w:lineRule="auto"/>
        <w:ind w:firstLine="709"/>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A obra segue uma estrutura clara: após apresentar as raízes teóricas da </w:t>
      </w:r>
      <w:proofErr w:type="spellStart"/>
      <w:r>
        <w:rPr>
          <w:rFonts w:ascii="Times New Roman" w:eastAsiaTheme="majorEastAsia" w:hAnsi="Times New Roman" w:cs="Times New Roman"/>
          <w:sz w:val="24"/>
          <w:szCs w:val="24"/>
        </w:rPr>
        <w:t>neuroetimologia</w:t>
      </w:r>
      <w:proofErr w:type="spellEnd"/>
      <w:r>
        <w:rPr>
          <w:rFonts w:ascii="Times New Roman" w:eastAsiaTheme="majorEastAsia" w:hAnsi="Times New Roman" w:cs="Times New Roman"/>
          <w:sz w:val="24"/>
          <w:szCs w:val="24"/>
        </w:rPr>
        <w:t xml:space="preserve">, percorremos dez capítulos, cada um dedicado a um estado mental específico. Cada capítulo é guiado por uma figura </w:t>
      </w:r>
      <w:proofErr w:type="gramStart"/>
      <w:r>
        <w:rPr>
          <w:rFonts w:ascii="Times New Roman" w:eastAsiaTheme="majorEastAsia" w:hAnsi="Times New Roman" w:cs="Times New Roman"/>
          <w:sz w:val="24"/>
          <w:szCs w:val="24"/>
        </w:rPr>
        <w:t>emblemática  -</w:t>
      </w:r>
      <w:proofErr w:type="gramEnd"/>
      <w:r>
        <w:rPr>
          <w:rFonts w:ascii="Times New Roman" w:eastAsiaTheme="majorEastAsia" w:hAnsi="Times New Roman" w:cs="Times New Roman"/>
          <w:sz w:val="24"/>
          <w:szCs w:val="24"/>
        </w:rPr>
        <w:t xml:space="preserve">  Nietzsche, no frenesi, ou Van Gogh, no </w:t>
      </w:r>
      <w:proofErr w:type="gramStart"/>
      <w:r>
        <w:rPr>
          <w:rFonts w:ascii="Times New Roman" w:eastAsiaTheme="majorEastAsia" w:hAnsi="Times New Roman" w:cs="Times New Roman"/>
          <w:sz w:val="24"/>
          <w:szCs w:val="24"/>
        </w:rPr>
        <w:t>delírio  -</w:t>
      </w:r>
      <w:proofErr w:type="gramEnd"/>
      <w:r>
        <w:rPr>
          <w:rFonts w:ascii="Times New Roman" w:eastAsiaTheme="majorEastAsia" w:hAnsi="Times New Roman" w:cs="Times New Roman"/>
          <w:sz w:val="24"/>
          <w:szCs w:val="24"/>
        </w:rPr>
        <w:t xml:space="preserve">  que encarnou ou desvendou aquele estado da mente. Assim, exploramos não apenas como esses estados foram vividos, mas como foram pensados e transformados em conhecimento. Um segundo volume, independente, será inteiramente dedicado ao conceito fascinante da ilusão.</w:t>
      </w:r>
    </w:p>
    <w:p w14:paraId="08D0C9DF" w14:textId="77777777" w:rsidR="0003312E" w:rsidRDefault="00000000">
      <w:pPr>
        <w:spacing w:after="0" w:line="240" w:lineRule="auto"/>
        <w:ind w:firstLine="709"/>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As figuras que acompanham o texto, geradas </w:t>
      </w:r>
      <w:proofErr w:type="gramStart"/>
      <w:r>
        <w:rPr>
          <w:rFonts w:ascii="Times New Roman" w:eastAsiaTheme="majorEastAsia" w:hAnsi="Times New Roman" w:cs="Times New Roman"/>
          <w:sz w:val="24"/>
          <w:szCs w:val="24"/>
        </w:rPr>
        <w:t>por  IA</w:t>
      </w:r>
      <w:proofErr w:type="gramEnd"/>
      <w:r>
        <w:rPr>
          <w:rFonts w:ascii="Times New Roman" w:eastAsiaTheme="majorEastAsia" w:hAnsi="Times New Roman" w:cs="Times New Roman"/>
          <w:sz w:val="24"/>
          <w:szCs w:val="24"/>
        </w:rPr>
        <w:t xml:space="preserve"> a partir dos </w:t>
      </w:r>
      <w:r>
        <w:rPr>
          <w:rFonts w:ascii="Times New Roman" w:eastAsiaTheme="majorEastAsia" w:hAnsi="Times New Roman" w:cs="Times New Roman"/>
          <w:i/>
          <w:iCs/>
          <w:sz w:val="24"/>
          <w:szCs w:val="24"/>
        </w:rPr>
        <w:t xml:space="preserve">prompts </w:t>
      </w:r>
      <w:r>
        <w:rPr>
          <w:rFonts w:ascii="Times New Roman" w:eastAsiaTheme="majorEastAsia" w:hAnsi="Times New Roman" w:cs="Times New Roman"/>
          <w:sz w:val="24"/>
          <w:szCs w:val="24"/>
        </w:rPr>
        <w:t>da autora deste livro, não são meras ilustrações. São tentativas de traduzir visualmente a carga simbólica contida em cada termo científico. Dialogam com o texto e reforçam a tese de que a medicina, em sua expressão mais nobre, é uma ciência humana, entrelaçada com narrativa, cultura e imaginação.</w:t>
      </w:r>
    </w:p>
    <w:p w14:paraId="4CDD213D" w14:textId="77777777" w:rsidR="0003312E" w:rsidRDefault="00000000">
      <w:pPr>
        <w:spacing w:after="0" w:line="240" w:lineRule="auto"/>
        <w:ind w:firstLine="709"/>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Este livro dirige-se a todos os que se fascinam pelos mistérios da mente: médicos, terapeutas, estudantes, artistas e curiosos. Que ao fim desta viagem cada palavra da mente deixe de ser apenas termo técnico e se revele vestígio vivo de nossa história. Que sejam, ao mesmo tempo, grades que nos limitam e asas que nos permitem voar em direção a novos entendimentos.</w:t>
      </w:r>
    </w:p>
    <w:p w14:paraId="5A5107F6" w14:textId="77777777" w:rsidR="0003312E" w:rsidRDefault="00000000">
      <w:pPr>
        <w:spacing w:after="0" w:line="240" w:lineRule="auto"/>
        <w:ind w:firstLine="709"/>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A viagem começa aqui. Boa leitura.</w:t>
      </w:r>
    </w:p>
    <w:p w14:paraId="71AB4A4C" w14:textId="77777777" w:rsidR="0003312E" w:rsidRDefault="00000000">
      <w:pPr>
        <w:spacing w:after="0" w:line="240" w:lineRule="auto"/>
        <w:ind w:firstLine="709"/>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Marleide da Mota Gomes, MD, PhD</w:t>
      </w:r>
    </w:p>
    <w:p w14:paraId="534E2EF5" w14:textId="77777777" w:rsidR="0003312E" w:rsidRDefault="00000000">
      <w:pPr>
        <w:spacing w:after="0" w:line="240" w:lineRule="auto"/>
        <w:rPr>
          <w:rFonts w:ascii="Times New Roman" w:eastAsiaTheme="majorEastAsia" w:hAnsi="Times New Roman" w:cs="Times New Roman"/>
          <w:i/>
          <w:iCs/>
        </w:rPr>
      </w:pPr>
      <w:r>
        <w:rPr>
          <w:rFonts w:ascii="Times New Roman" w:eastAsiaTheme="majorEastAsia" w:hAnsi="Times New Roman" w:cs="Times New Roman"/>
          <w:i/>
          <w:iCs/>
        </w:rPr>
        <w:br w:type="page"/>
      </w:r>
    </w:p>
    <w:p w14:paraId="796C55D3" w14:textId="77777777" w:rsidR="0003312E" w:rsidRDefault="00000000">
      <w:pPr>
        <w:spacing w:after="0" w:line="240" w:lineRule="auto"/>
        <w:jc w:val="both"/>
        <w:rPr>
          <w:rFonts w:ascii="Times New Roman" w:eastAsiaTheme="majorEastAsia" w:hAnsi="Times New Roman" w:cs="Times New Roman"/>
          <w:b/>
          <w:bCs/>
          <w:i/>
          <w:iCs/>
        </w:rPr>
      </w:pPr>
      <w:r>
        <w:rPr>
          <w:rFonts w:ascii="Times New Roman" w:eastAsiaTheme="majorEastAsia" w:hAnsi="Times New Roman" w:cs="Times New Roman"/>
          <w:b/>
          <w:bCs/>
          <w:i/>
          <w:iCs/>
        </w:rPr>
        <w:lastRenderedPageBreak/>
        <w:t>LISTA IMAGENS</w:t>
      </w:r>
    </w:p>
    <w:p w14:paraId="4C258446" w14:textId="77777777" w:rsidR="0003312E" w:rsidRDefault="00000000">
      <w:pPr>
        <w:spacing w:after="0" w:line="240" w:lineRule="auto"/>
        <w:jc w:val="both"/>
        <w:rPr>
          <w:rFonts w:ascii="Times New Roman" w:eastAsiaTheme="majorEastAsia" w:hAnsi="Times New Roman" w:cs="Times New Roman"/>
        </w:rPr>
      </w:pPr>
      <w:r>
        <w:rPr>
          <w:rFonts w:ascii="Times New Roman" w:eastAsiaTheme="majorEastAsia" w:hAnsi="Times New Roman" w:cs="Times New Roman"/>
          <w:b/>
          <w:bCs/>
        </w:rPr>
        <w:t xml:space="preserve">As Raízes da </w:t>
      </w:r>
      <w:proofErr w:type="spellStart"/>
      <w:r>
        <w:rPr>
          <w:rFonts w:ascii="Times New Roman" w:eastAsiaTheme="majorEastAsia" w:hAnsi="Times New Roman" w:cs="Times New Roman"/>
          <w:b/>
          <w:bCs/>
        </w:rPr>
        <w:t>Neuroetimologia</w:t>
      </w:r>
      <w:proofErr w:type="spellEnd"/>
      <w:r>
        <w:rPr>
          <w:rFonts w:ascii="Times New Roman" w:eastAsiaTheme="majorEastAsia" w:hAnsi="Times New Roman" w:cs="Times New Roman"/>
          <w:b/>
          <w:bCs/>
        </w:rPr>
        <w:t>: Diálogos entre Palavra e Cérebro</w:t>
      </w:r>
      <w:r>
        <w:rPr>
          <w:rFonts w:ascii="Times New Roman" w:eastAsiaTheme="majorEastAsia" w:hAnsi="Times New Roman" w:cs="Times New Roman"/>
        </w:rPr>
        <w:br/>
      </w:r>
      <w:r>
        <w:rPr>
          <w:rFonts w:ascii="Times New Roman" w:eastAsiaTheme="majorEastAsia" w:hAnsi="Times New Roman" w:cs="Times New Roman"/>
          <w:i/>
          <w:iCs/>
        </w:rPr>
        <w:t>Figura 0.1: O Voo das Palavras na Trama do Corpo e do Tempo</w:t>
      </w:r>
      <w:r>
        <w:rPr>
          <w:rFonts w:ascii="Times New Roman" w:eastAsiaTheme="majorEastAsia" w:hAnsi="Times New Roman" w:cs="Times New Roman"/>
        </w:rPr>
        <w:br/>
      </w:r>
      <w:r>
        <w:rPr>
          <w:rFonts w:ascii="Times New Roman" w:eastAsiaTheme="majorEastAsia" w:hAnsi="Times New Roman" w:cs="Times New Roman"/>
          <w:i/>
          <w:iCs/>
        </w:rPr>
        <w:t>Figura 0.2: Isidoro de Sevilha: O Cartógrafo que Mapeou a Alma das Palavras</w:t>
      </w:r>
    </w:p>
    <w:p w14:paraId="56505EC0" w14:textId="77777777" w:rsidR="0003312E" w:rsidRDefault="00000000">
      <w:pPr>
        <w:spacing w:after="0" w:line="240" w:lineRule="auto"/>
        <w:jc w:val="both"/>
        <w:rPr>
          <w:rFonts w:ascii="Times New Roman" w:eastAsia="SimSun" w:hAnsi="Times New Roman" w:cs="Times New Roman"/>
          <w:sz w:val="20"/>
          <w:szCs w:val="20"/>
        </w:rPr>
      </w:pPr>
      <w:r>
        <w:rPr>
          <w:rFonts w:ascii="Times New Roman" w:eastAsia="SimSun" w:hAnsi="Times New Roman" w:cs="Times New Roman"/>
          <w:b/>
          <w:bCs/>
          <w:sz w:val="20"/>
          <w:szCs w:val="20"/>
        </w:rPr>
        <w:t xml:space="preserve">1. </w:t>
      </w:r>
      <w:r>
        <w:rPr>
          <w:rFonts w:ascii="Times New Roman" w:eastAsiaTheme="majorEastAsia" w:hAnsi="Times New Roman" w:cs="Times New Roman"/>
          <w:b/>
          <w:bCs/>
        </w:rPr>
        <w:t xml:space="preserve">Hipnose: Do Deus </w:t>
      </w:r>
      <w:proofErr w:type="spellStart"/>
      <w:r>
        <w:rPr>
          <w:rFonts w:ascii="Times New Roman" w:eastAsiaTheme="majorEastAsia" w:hAnsi="Times New Roman" w:cs="Times New Roman"/>
          <w:b/>
          <w:bCs/>
        </w:rPr>
        <w:t>Hypnos</w:t>
      </w:r>
      <w:proofErr w:type="spellEnd"/>
      <w:r>
        <w:rPr>
          <w:rFonts w:ascii="Times New Roman" w:eastAsiaTheme="majorEastAsia" w:hAnsi="Times New Roman" w:cs="Times New Roman"/>
          <w:b/>
          <w:bCs/>
        </w:rPr>
        <w:t xml:space="preserve"> à Neurociência da Atenção</w:t>
      </w:r>
    </w:p>
    <w:p w14:paraId="644FC61D" w14:textId="77777777" w:rsidR="0003312E" w:rsidRDefault="00000000">
      <w:pPr>
        <w:spacing w:after="0" w:line="240" w:lineRule="auto"/>
        <w:jc w:val="both"/>
        <w:rPr>
          <w:rFonts w:ascii="Times New Roman" w:eastAsiaTheme="majorEastAsia" w:hAnsi="Times New Roman" w:cs="Times New Roman"/>
          <w:i/>
          <w:iCs/>
        </w:rPr>
      </w:pPr>
      <w:r>
        <w:rPr>
          <w:rFonts w:ascii="Times New Roman" w:eastAsiaTheme="majorEastAsia" w:hAnsi="Times New Roman" w:cs="Times New Roman"/>
          <w:i/>
          <w:iCs/>
        </w:rPr>
        <w:t xml:space="preserve">Figura 1.1: </w:t>
      </w:r>
      <w:proofErr w:type="spellStart"/>
      <w:r>
        <w:rPr>
          <w:rFonts w:ascii="Times New Roman" w:eastAsiaTheme="majorEastAsia" w:hAnsi="Times New Roman" w:cs="Times New Roman"/>
          <w:i/>
          <w:iCs/>
        </w:rPr>
        <w:t>Hypnos</w:t>
      </w:r>
      <w:proofErr w:type="spellEnd"/>
      <w:r>
        <w:rPr>
          <w:rFonts w:ascii="Times New Roman" w:eastAsiaTheme="majorEastAsia" w:hAnsi="Times New Roman" w:cs="Times New Roman"/>
          <w:i/>
          <w:iCs/>
        </w:rPr>
        <w:t>: O Deus do Sono e o Portal para Outros Estados de Consciência</w:t>
      </w:r>
    </w:p>
    <w:p w14:paraId="6370229F" w14:textId="77777777" w:rsidR="0003312E" w:rsidRDefault="00000000">
      <w:pPr>
        <w:spacing w:after="0" w:line="240" w:lineRule="auto"/>
        <w:jc w:val="both"/>
        <w:rPr>
          <w:rFonts w:ascii="Times New Roman" w:eastAsiaTheme="majorEastAsia" w:hAnsi="Times New Roman" w:cs="Times New Roman"/>
          <w:i/>
          <w:iCs/>
        </w:rPr>
      </w:pPr>
      <w:r>
        <w:rPr>
          <w:rFonts w:ascii="Times New Roman" w:eastAsiaTheme="majorEastAsia" w:hAnsi="Times New Roman" w:cs="Times New Roman"/>
          <w:i/>
          <w:iCs/>
        </w:rPr>
        <w:t xml:space="preserve">Figura 1.2: </w:t>
      </w:r>
      <w:r>
        <w:rPr>
          <w:rStyle w:val="15"/>
          <w:b w:val="0"/>
          <w:bCs w:val="0"/>
          <w:i/>
          <w:iCs/>
          <w:sz w:val="20"/>
          <w:szCs w:val="20"/>
          <w:shd w:val="clear" w:color="auto" w:fill="FFFFFF"/>
        </w:rPr>
        <w:t xml:space="preserve">James </w:t>
      </w:r>
      <w:proofErr w:type="spellStart"/>
      <w:r>
        <w:rPr>
          <w:rStyle w:val="15"/>
          <w:b w:val="0"/>
          <w:bCs w:val="0"/>
          <w:i/>
          <w:iCs/>
          <w:sz w:val="20"/>
          <w:szCs w:val="20"/>
          <w:shd w:val="clear" w:color="auto" w:fill="FFFFFF"/>
        </w:rPr>
        <w:t>Braid</w:t>
      </w:r>
      <w:proofErr w:type="spellEnd"/>
      <w:r>
        <w:rPr>
          <w:rStyle w:val="15"/>
          <w:b w:val="0"/>
          <w:bCs w:val="0"/>
          <w:i/>
          <w:iCs/>
          <w:sz w:val="20"/>
          <w:szCs w:val="20"/>
          <w:shd w:val="clear" w:color="auto" w:fill="FFFFFF"/>
        </w:rPr>
        <w:t xml:space="preserve"> (1795 - 1860):</w:t>
      </w:r>
      <w:r>
        <w:rPr>
          <w:rFonts w:ascii="Times New Roman" w:hAnsi="Times New Roman" w:cs="Times New Roman"/>
          <w:i/>
          <w:iCs/>
          <w:sz w:val="20"/>
          <w:szCs w:val="20"/>
          <w:shd w:val="clear" w:color="auto" w:fill="FFFFFF"/>
        </w:rPr>
        <w:t> </w:t>
      </w:r>
      <w:r>
        <w:rPr>
          <w:rFonts w:ascii="Times New Roman" w:eastAsiaTheme="majorEastAsia" w:hAnsi="Times New Roman" w:cs="Times New Roman"/>
          <w:i/>
          <w:iCs/>
        </w:rPr>
        <w:t>O Cirurgião que Transformou Sono em Ciência</w:t>
      </w:r>
    </w:p>
    <w:p w14:paraId="5FED10AA" w14:textId="77777777" w:rsidR="0003312E" w:rsidRDefault="00000000">
      <w:pPr>
        <w:spacing w:after="0" w:line="240" w:lineRule="auto"/>
        <w:jc w:val="both"/>
        <w:rPr>
          <w:rFonts w:ascii="Times New Roman" w:eastAsiaTheme="majorEastAsia" w:hAnsi="Times New Roman" w:cs="Times New Roman"/>
        </w:rPr>
      </w:pPr>
      <w:r>
        <w:rPr>
          <w:rFonts w:ascii="Times New Roman" w:eastAsiaTheme="majorEastAsia" w:hAnsi="Times New Roman" w:cs="Times New Roman"/>
          <w:b/>
          <w:bCs/>
        </w:rPr>
        <w:t>2. Coma: O Silêncio do Pensamento</w:t>
      </w:r>
      <w:r>
        <w:rPr>
          <w:rFonts w:ascii="Times New Roman" w:eastAsiaTheme="majorEastAsia" w:hAnsi="Times New Roman" w:cs="Times New Roman"/>
        </w:rPr>
        <w:br/>
      </w:r>
      <w:r>
        <w:rPr>
          <w:rFonts w:ascii="Times New Roman" w:eastAsiaTheme="majorEastAsia" w:hAnsi="Times New Roman" w:cs="Times New Roman"/>
          <w:i/>
          <w:iCs/>
        </w:rPr>
        <w:t>Figura 2.1: O Carvalho Invernal: Metáfora do Silêncio Neural</w:t>
      </w:r>
      <w:r>
        <w:rPr>
          <w:rFonts w:ascii="Times New Roman" w:eastAsiaTheme="majorEastAsia" w:hAnsi="Times New Roman" w:cs="Times New Roman"/>
        </w:rPr>
        <w:br/>
      </w:r>
      <w:r>
        <w:rPr>
          <w:rFonts w:ascii="Times New Roman" w:eastAsiaTheme="majorEastAsia" w:hAnsi="Times New Roman" w:cs="Times New Roman"/>
          <w:i/>
          <w:iCs/>
        </w:rPr>
        <w:t>Figura 2.2: Harvey Cushing (1869-1939): O Decifrador do Silêncio Cerebral</w:t>
      </w:r>
    </w:p>
    <w:p w14:paraId="24A540F9" w14:textId="77777777" w:rsidR="0003312E" w:rsidRDefault="00000000">
      <w:pPr>
        <w:spacing w:after="0" w:line="240" w:lineRule="auto"/>
        <w:jc w:val="both"/>
        <w:rPr>
          <w:rFonts w:ascii="Times New Roman" w:eastAsiaTheme="majorEastAsia" w:hAnsi="Times New Roman" w:cs="Times New Roman"/>
        </w:rPr>
      </w:pPr>
      <w:r>
        <w:rPr>
          <w:rFonts w:ascii="Times New Roman" w:eastAsiaTheme="majorEastAsia" w:hAnsi="Times New Roman" w:cs="Times New Roman"/>
          <w:b/>
          <w:bCs/>
        </w:rPr>
        <w:t>3. Frenesi: O Fogo que Incendeia a Mente</w:t>
      </w:r>
      <w:r>
        <w:rPr>
          <w:rFonts w:ascii="Times New Roman" w:eastAsiaTheme="majorEastAsia" w:hAnsi="Times New Roman" w:cs="Times New Roman"/>
        </w:rPr>
        <w:br/>
      </w:r>
      <w:r>
        <w:rPr>
          <w:rFonts w:ascii="Times New Roman" w:eastAsiaTheme="majorEastAsia" w:hAnsi="Times New Roman" w:cs="Times New Roman"/>
          <w:i/>
          <w:iCs/>
        </w:rPr>
        <w:t>Figura 3.1: O Êxtase de Dionísio: Entre Inspiração e Perda de Controle</w:t>
      </w:r>
      <w:r>
        <w:rPr>
          <w:rFonts w:ascii="Times New Roman" w:eastAsiaTheme="majorEastAsia" w:hAnsi="Times New Roman" w:cs="Times New Roman"/>
        </w:rPr>
        <w:br/>
      </w:r>
      <w:r>
        <w:rPr>
          <w:rFonts w:ascii="Times New Roman" w:eastAsiaTheme="majorEastAsia" w:hAnsi="Times New Roman" w:cs="Times New Roman"/>
          <w:i/>
          <w:iCs/>
        </w:rPr>
        <w:t xml:space="preserve">Figura 3.2: Friedrich Nietzsche (1844-1900): O Filósofo </w:t>
      </w:r>
      <w:proofErr w:type="gramStart"/>
      <w:r>
        <w:rPr>
          <w:rFonts w:ascii="Times New Roman" w:eastAsiaTheme="majorEastAsia" w:hAnsi="Times New Roman" w:cs="Times New Roman"/>
          <w:i/>
          <w:iCs/>
        </w:rPr>
        <w:t>que Abraçou</w:t>
      </w:r>
      <w:proofErr w:type="gramEnd"/>
      <w:r>
        <w:rPr>
          <w:rFonts w:ascii="Times New Roman" w:eastAsiaTheme="majorEastAsia" w:hAnsi="Times New Roman" w:cs="Times New Roman"/>
          <w:i/>
          <w:iCs/>
        </w:rPr>
        <w:t xml:space="preserve"> o Fogo Mental</w:t>
      </w:r>
    </w:p>
    <w:p w14:paraId="72BA438E" w14:textId="77777777" w:rsidR="0003312E" w:rsidRDefault="00000000">
      <w:pPr>
        <w:spacing w:after="0" w:line="240" w:lineRule="auto"/>
        <w:jc w:val="both"/>
        <w:rPr>
          <w:rFonts w:ascii="Times New Roman" w:eastAsiaTheme="majorEastAsia" w:hAnsi="Times New Roman" w:cs="Times New Roman"/>
        </w:rPr>
      </w:pPr>
      <w:r>
        <w:rPr>
          <w:rFonts w:ascii="Times New Roman" w:eastAsiaTheme="majorEastAsia" w:hAnsi="Times New Roman" w:cs="Times New Roman"/>
          <w:b/>
          <w:bCs/>
        </w:rPr>
        <w:t>4. Melancolia: A Cidade Subterrânea</w:t>
      </w:r>
      <w:r>
        <w:rPr>
          <w:rFonts w:ascii="Times New Roman" w:eastAsiaTheme="majorEastAsia" w:hAnsi="Times New Roman" w:cs="Times New Roman"/>
        </w:rPr>
        <w:br/>
      </w:r>
      <w:r>
        <w:rPr>
          <w:rFonts w:ascii="Times New Roman" w:eastAsiaTheme="majorEastAsia" w:hAnsi="Times New Roman" w:cs="Times New Roman"/>
          <w:i/>
          <w:iCs/>
        </w:rPr>
        <w:t>Figura 4.1: O Labirinto das Sombras: A Geografia da Introspecção</w:t>
      </w:r>
      <w:r>
        <w:rPr>
          <w:rFonts w:ascii="Times New Roman" w:eastAsiaTheme="majorEastAsia" w:hAnsi="Times New Roman" w:cs="Times New Roman"/>
        </w:rPr>
        <w:br/>
      </w:r>
      <w:r>
        <w:rPr>
          <w:rFonts w:ascii="Times New Roman" w:eastAsiaTheme="majorEastAsia" w:hAnsi="Times New Roman" w:cs="Times New Roman"/>
          <w:i/>
          <w:iCs/>
        </w:rPr>
        <w:t>Figura 4.2: Robert Burton (1577-1640): O Cartógrafo das Profundezas da Alma</w:t>
      </w:r>
    </w:p>
    <w:p w14:paraId="6EBE9A24" w14:textId="77777777" w:rsidR="0003312E" w:rsidRDefault="00000000">
      <w:pPr>
        <w:spacing w:after="0" w:line="240" w:lineRule="auto"/>
        <w:jc w:val="both"/>
        <w:rPr>
          <w:rFonts w:ascii="Times New Roman" w:eastAsiaTheme="majorEastAsia" w:hAnsi="Times New Roman" w:cs="Times New Roman"/>
        </w:rPr>
      </w:pPr>
      <w:r>
        <w:rPr>
          <w:rFonts w:ascii="Times New Roman" w:eastAsiaTheme="majorEastAsia" w:hAnsi="Times New Roman" w:cs="Times New Roman"/>
          <w:b/>
          <w:bCs/>
        </w:rPr>
        <w:t>5. Êxtase: A Fusão do Eu com o Infinito</w:t>
      </w:r>
      <w:r>
        <w:rPr>
          <w:rFonts w:ascii="Times New Roman" w:eastAsiaTheme="majorEastAsia" w:hAnsi="Times New Roman" w:cs="Times New Roman"/>
        </w:rPr>
        <w:br/>
      </w:r>
      <w:r>
        <w:rPr>
          <w:rFonts w:ascii="Times New Roman" w:eastAsiaTheme="majorEastAsia" w:hAnsi="Times New Roman" w:cs="Times New Roman"/>
          <w:i/>
          <w:iCs/>
        </w:rPr>
        <w:t>Figura 5.1: A Flecha de Fogo: A Agonia e o Êxtase da Transcendência</w:t>
      </w:r>
      <w:r>
        <w:rPr>
          <w:rFonts w:ascii="Times New Roman" w:eastAsiaTheme="majorEastAsia" w:hAnsi="Times New Roman" w:cs="Times New Roman"/>
        </w:rPr>
        <w:br/>
      </w:r>
      <w:r>
        <w:rPr>
          <w:rFonts w:ascii="Times New Roman" w:eastAsiaTheme="majorEastAsia" w:hAnsi="Times New Roman" w:cs="Times New Roman"/>
          <w:i/>
          <w:iCs/>
        </w:rPr>
        <w:t xml:space="preserve">Figura 5.2: </w:t>
      </w:r>
      <w:r>
        <w:rPr>
          <w:rFonts w:ascii="Times New Roman" w:eastAsia="Segoe UI" w:hAnsi="Times New Roman" w:cs="Times New Roman"/>
          <w:shd w:val="clear" w:color="auto" w:fill="FFFFFF"/>
        </w:rPr>
        <w:t>Santa Teresa de Ávila (1515 - 1582)</w:t>
      </w:r>
      <w:r>
        <w:rPr>
          <w:rFonts w:ascii="Times New Roman" w:eastAsiaTheme="majorEastAsia" w:hAnsi="Times New Roman" w:cs="Times New Roman"/>
          <w:i/>
          <w:iCs/>
        </w:rPr>
        <w:t>: A Exploradora do Invisível</w:t>
      </w:r>
    </w:p>
    <w:p w14:paraId="212C4526" w14:textId="77777777" w:rsidR="0003312E" w:rsidRDefault="00000000">
      <w:pPr>
        <w:spacing w:after="0" w:line="240" w:lineRule="auto"/>
        <w:jc w:val="both"/>
        <w:rPr>
          <w:rStyle w:val="Forte"/>
          <w:rFonts w:ascii="Times New Roman" w:eastAsia="Segoe UI" w:hAnsi="Times New Roman" w:cs="Times New Roman"/>
          <w:color w:val="0F1115"/>
          <w:shd w:val="clear" w:color="auto" w:fill="FFFFFF"/>
        </w:rPr>
      </w:pPr>
      <w:r>
        <w:rPr>
          <w:rFonts w:ascii="Times New Roman" w:eastAsiaTheme="majorEastAsia" w:hAnsi="Times New Roman" w:cs="Times New Roman"/>
          <w:b/>
          <w:bCs/>
        </w:rPr>
        <w:t xml:space="preserve">6. </w:t>
      </w:r>
      <w:r>
        <w:rPr>
          <w:rStyle w:val="Forte"/>
          <w:rFonts w:ascii="Times New Roman" w:eastAsia="Segoe UI" w:hAnsi="Times New Roman" w:cs="Times New Roman"/>
          <w:color w:val="0F1115"/>
          <w:shd w:val="clear" w:color="auto" w:fill="FFFFFF"/>
        </w:rPr>
        <w:t>Delírio: Sair do Sulco do Pensamento</w:t>
      </w:r>
    </w:p>
    <w:p w14:paraId="3A659633" w14:textId="77777777" w:rsidR="0003312E" w:rsidRDefault="00000000">
      <w:pPr>
        <w:spacing w:after="0" w:line="240" w:lineRule="auto"/>
        <w:jc w:val="both"/>
        <w:rPr>
          <w:rStyle w:val="Forte"/>
          <w:rFonts w:ascii="Times New Roman" w:eastAsia="Segoe UI" w:hAnsi="Times New Roman" w:cs="Times New Roman"/>
          <w:b w:val="0"/>
          <w:bCs w:val="0"/>
          <w:i/>
          <w:iCs/>
          <w:shd w:val="clear" w:color="auto" w:fill="FFFFFF"/>
        </w:rPr>
      </w:pPr>
      <w:r>
        <w:rPr>
          <w:rFonts w:ascii="Times New Roman" w:eastAsiaTheme="majorEastAsia" w:hAnsi="Times New Roman" w:cs="Times New Roman"/>
          <w:i/>
          <w:iCs/>
        </w:rPr>
        <w:t>Figura 6.1: O Campo que se Desvia: Quando o Pensamento Perde o Sulco</w:t>
      </w:r>
      <w:r>
        <w:rPr>
          <w:rFonts w:ascii="Times New Roman" w:eastAsiaTheme="majorEastAsia" w:hAnsi="Times New Roman" w:cs="Times New Roman"/>
        </w:rPr>
        <w:br/>
      </w:r>
      <w:r>
        <w:rPr>
          <w:rFonts w:ascii="Times New Roman" w:eastAsiaTheme="majorEastAsia" w:hAnsi="Times New Roman" w:cs="Times New Roman"/>
          <w:i/>
          <w:iCs/>
        </w:rPr>
        <w:t xml:space="preserve">Figura 6.2: </w:t>
      </w:r>
      <w:r>
        <w:rPr>
          <w:rStyle w:val="Forte"/>
          <w:rFonts w:ascii="Times New Roman" w:eastAsia="Segoe UI" w:hAnsi="Times New Roman" w:cs="Times New Roman"/>
          <w:b w:val="0"/>
          <w:bCs w:val="0"/>
          <w:i/>
          <w:iCs/>
          <w:shd w:val="clear" w:color="auto" w:fill="FFFFFF"/>
        </w:rPr>
        <w:t xml:space="preserve">A Mente que Ara Fora do Sulco:  </w:t>
      </w:r>
      <w:r>
        <w:rPr>
          <w:rFonts w:ascii="Times New Roman" w:eastAsiaTheme="majorEastAsia" w:hAnsi="Times New Roman" w:cs="Times New Roman"/>
          <w:i/>
          <w:iCs/>
        </w:rPr>
        <w:t xml:space="preserve">Vincent van Gogh </w:t>
      </w:r>
      <w:r>
        <w:rPr>
          <w:rStyle w:val="Forte"/>
          <w:rFonts w:ascii="Times New Roman" w:eastAsia="Segoe UI" w:hAnsi="Times New Roman" w:cs="Times New Roman"/>
          <w:b w:val="0"/>
          <w:bCs w:val="0"/>
          <w:i/>
          <w:iCs/>
          <w:shd w:val="clear" w:color="auto" w:fill="FFFFFF"/>
        </w:rPr>
        <w:t>(1853 - 1890) e a Colheita do Invisível</w:t>
      </w:r>
    </w:p>
    <w:p w14:paraId="664002BC" w14:textId="77777777" w:rsidR="0003312E" w:rsidRDefault="00000000">
      <w:pPr>
        <w:spacing w:after="0" w:line="240" w:lineRule="auto"/>
        <w:jc w:val="both"/>
        <w:rPr>
          <w:rFonts w:ascii="Times New Roman" w:eastAsiaTheme="majorEastAsia" w:hAnsi="Times New Roman" w:cs="Times New Roman"/>
          <w:i/>
          <w:iCs/>
        </w:rPr>
      </w:pPr>
      <w:r>
        <w:rPr>
          <w:rFonts w:ascii="Times New Roman" w:eastAsiaTheme="majorEastAsia" w:hAnsi="Times New Roman" w:cs="Times New Roman"/>
          <w:b/>
          <w:bCs/>
        </w:rPr>
        <w:t>7. Histeria: Quando o Corpo Fala o que a Mente Cala</w:t>
      </w:r>
      <w:r>
        <w:rPr>
          <w:rFonts w:ascii="Times New Roman" w:eastAsiaTheme="majorEastAsia" w:hAnsi="Times New Roman" w:cs="Times New Roman"/>
        </w:rPr>
        <w:br/>
      </w:r>
      <w:r>
        <w:rPr>
          <w:rFonts w:ascii="Times New Roman" w:eastAsiaTheme="majorEastAsia" w:hAnsi="Times New Roman" w:cs="Times New Roman"/>
          <w:i/>
          <w:iCs/>
        </w:rPr>
        <w:t>Figura 7.1: O Útero como Labirinto: O Código Corporal do Inconsciente</w:t>
      </w:r>
      <w:r>
        <w:rPr>
          <w:rFonts w:ascii="Times New Roman" w:eastAsiaTheme="majorEastAsia" w:hAnsi="Times New Roman" w:cs="Times New Roman"/>
        </w:rPr>
        <w:br/>
      </w:r>
      <w:r>
        <w:rPr>
          <w:rFonts w:ascii="Times New Roman" w:eastAsiaTheme="majorEastAsia" w:hAnsi="Times New Roman" w:cs="Times New Roman"/>
          <w:i/>
          <w:iCs/>
        </w:rPr>
        <w:t xml:space="preserve">Figura 7.2: Jean-Martin </w:t>
      </w:r>
      <w:proofErr w:type="spellStart"/>
      <w:r>
        <w:rPr>
          <w:rFonts w:ascii="Times New Roman" w:eastAsiaTheme="majorEastAsia" w:hAnsi="Times New Roman" w:cs="Times New Roman"/>
          <w:i/>
          <w:iCs/>
        </w:rPr>
        <w:t>Charcot</w:t>
      </w:r>
      <w:proofErr w:type="spellEnd"/>
      <w:r>
        <w:rPr>
          <w:rFonts w:ascii="Times New Roman" w:eastAsiaTheme="majorEastAsia" w:hAnsi="Times New Roman" w:cs="Times New Roman"/>
          <w:i/>
          <w:iCs/>
        </w:rPr>
        <w:t xml:space="preserve"> (1825-1893): O Diretor do Teatro Clínico</w:t>
      </w:r>
    </w:p>
    <w:p w14:paraId="40B5C8D4" w14:textId="77777777" w:rsidR="0003312E" w:rsidRDefault="00000000">
      <w:pPr>
        <w:spacing w:after="0" w:line="240" w:lineRule="auto"/>
        <w:jc w:val="both"/>
        <w:rPr>
          <w:rFonts w:ascii="Times New Roman" w:eastAsiaTheme="majorEastAsia" w:hAnsi="Times New Roman" w:cs="Times New Roman"/>
        </w:rPr>
      </w:pPr>
      <w:r>
        <w:rPr>
          <w:rFonts w:ascii="Times New Roman" w:eastAsiaTheme="majorEastAsia" w:hAnsi="Times New Roman" w:cs="Times New Roman"/>
          <w:b/>
          <w:bCs/>
        </w:rPr>
        <w:t>8. Neurastenia: O Cansaço de uma Era</w:t>
      </w:r>
      <w:r>
        <w:rPr>
          <w:rFonts w:ascii="Times New Roman" w:eastAsiaTheme="majorEastAsia" w:hAnsi="Times New Roman" w:cs="Times New Roman"/>
        </w:rPr>
        <w:br/>
      </w:r>
      <w:r>
        <w:rPr>
          <w:rFonts w:ascii="Times New Roman" w:eastAsiaTheme="majorEastAsia" w:hAnsi="Times New Roman" w:cs="Times New Roman"/>
          <w:i/>
          <w:iCs/>
        </w:rPr>
        <w:t>Figura 8.1: O Cérebro Sobrecarregado: A Fadiga da Civilização</w:t>
      </w:r>
      <w:r>
        <w:rPr>
          <w:rFonts w:ascii="Times New Roman" w:eastAsiaTheme="majorEastAsia" w:hAnsi="Times New Roman" w:cs="Times New Roman"/>
        </w:rPr>
        <w:br/>
      </w:r>
      <w:r>
        <w:rPr>
          <w:rFonts w:ascii="Times New Roman" w:eastAsiaTheme="majorEastAsia" w:hAnsi="Times New Roman" w:cs="Times New Roman"/>
          <w:i/>
          <w:iCs/>
        </w:rPr>
        <w:t>Figura 8.2: George Miller Beard: O Médico que Diagnosticou o Espírito de Seu Tempo</w:t>
      </w:r>
    </w:p>
    <w:p w14:paraId="18E64163" w14:textId="77777777" w:rsidR="0003312E" w:rsidRDefault="00000000">
      <w:pPr>
        <w:spacing w:after="0" w:line="240" w:lineRule="auto"/>
        <w:jc w:val="both"/>
        <w:rPr>
          <w:rFonts w:ascii="Times New Roman" w:eastAsiaTheme="majorEastAsia" w:hAnsi="Times New Roman" w:cs="Times New Roman"/>
        </w:rPr>
      </w:pPr>
      <w:r>
        <w:rPr>
          <w:rFonts w:ascii="Times New Roman" w:eastAsiaTheme="majorEastAsia" w:hAnsi="Times New Roman" w:cs="Times New Roman"/>
          <w:b/>
          <w:bCs/>
        </w:rPr>
        <w:t>9. Ansiedade: O Aperto que Molda a Existência</w:t>
      </w:r>
      <w:r>
        <w:rPr>
          <w:rFonts w:ascii="Times New Roman" w:eastAsiaTheme="majorEastAsia" w:hAnsi="Times New Roman" w:cs="Times New Roman"/>
        </w:rPr>
        <w:br/>
      </w:r>
      <w:r>
        <w:rPr>
          <w:rFonts w:ascii="Times New Roman" w:eastAsiaTheme="majorEastAsia" w:hAnsi="Times New Roman" w:cs="Times New Roman"/>
          <w:i/>
          <w:iCs/>
        </w:rPr>
        <w:t>Figura 9.1: O Aperto Existencial: A Angústia diante da Liberdade</w:t>
      </w:r>
      <w:r>
        <w:rPr>
          <w:rFonts w:ascii="Times New Roman" w:eastAsiaTheme="majorEastAsia" w:hAnsi="Times New Roman" w:cs="Times New Roman"/>
        </w:rPr>
        <w:br/>
      </w:r>
      <w:r>
        <w:rPr>
          <w:rFonts w:ascii="Times New Roman" w:eastAsiaTheme="majorEastAsia" w:hAnsi="Times New Roman" w:cs="Times New Roman"/>
          <w:i/>
          <w:iCs/>
        </w:rPr>
        <w:t xml:space="preserve">Figura 9.2: </w:t>
      </w:r>
      <w:proofErr w:type="spellStart"/>
      <w:r>
        <w:rPr>
          <w:rFonts w:ascii="Times New Roman" w:eastAsiaTheme="majorEastAsia" w:hAnsi="Times New Roman" w:cs="Times New Roman"/>
          <w:i/>
          <w:iCs/>
        </w:rPr>
        <w:t>Søren</w:t>
      </w:r>
      <w:proofErr w:type="spellEnd"/>
      <w:r>
        <w:rPr>
          <w:rFonts w:ascii="Times New Roman" w:eastAsiaTheme="majorEastAsia" w:hAnsi="Times New Roman" w:cs="Times New Roman"/>
          <w:i/>
          <w:iCs/>
        </w:rPr>
        <w:t xml:space="preserve"> Kierkegaard: O Pensador da Vertigem do Possível</w:t>
      </w:r>
    </w:p>
    <w:p w14:paraId="54673AAC" w14:textId="77777777" w:rsidR="0003312E" w:rsidRDefault="00000000">
      <w:pPr>
        <w:spacing w:after="0" w:line="240" w:lineRule="auto"/>
        <w:jc w:val="both"/>
        <w:rPr>
          <w:rFonts w:ascii="Times New Roman" w:eastAsiaTheme="majorEastAsia" w:hAnsi="Times New Roman" w:cs="Times New Roman"/>
        </w:rPr>
      </w:pPr>
      <w:r>
        <w:rPr>
          <w:rFonts w:ascii="Times New Roman" w:eastAsiaTheme="majorEastAsia" w:hAnsi="Times New Roman" w:cs="Times New Roman"/>
          <w:b/>
          <w:bCs/>
        </w:rPr>
        <w:t>10. Eutimia: Da Serenidade Grega ao Equilíbrio Clínico</w:t>
      </w:r>
      <w:r>
        <w:rPr>
          <w:rFonts w:ascii="Times New Roman" w:eastAsiaTheme="majorEastAsia" w:hAnsi="Times New Roman" w:cs="Times New Roman"/>
        </w:rPr>
        <w:br/>
      </w:r>
      <w:r>
        <w:rPr>
          <w:rFonts w:ascii="Times New Roman" w:eastAsiaTheme="majorEastAsia" w:hAnsi="Times New Roman" w:cs="Times New Roman"/>
          <w:i/>
          <w:iCs/>
        </w:rPr>
        <w:t>Figura 10.1: A Árvore da Mente Equilibrada: Raízes Antigas, Flores Modernas</w:t>
      </w:r>
      <w:r>
        <w:rPr>
          <w:rFonts w:ascii="Times New Roman" w:eastAsiaTheme="majorEastAsia" w:hAnsi="Times New Roman" w:cs="Times New Roman"/>
        </w:rPr>
        <w:br/>
      </w:r>
      <w:r>
        <w:rPr>
          <w:rFonts w:ascii="Times New Roman" w:eastAsiaTheme="majorEastAsia" w:hAnsi="Times New Roman" w:cs="Times New Roman"/>
          <w:i/>
          <w:iCs/>
        </w:rPr>
        <w:t xml:space="preserve">Figura 10.2: Demócrito de </w:t>
      </w:r>
      <w:proofErr w:type="spellStart"/>
      <w:r>
        <w:rPr>
          <w:rFonts w:ascii="Times New Roman" w:eastAsiaTheme="majorEastAsia" w:hAnsi="Times New Roman" w:cs="Times New Roman"/>
          <w:i/>
          <w:iCs/>
        </w:rPr>
        <w:t>Abdera</w:t>
      </w:r>
      <w:proofErr w:type="spellEnd"/>
      <w:r>
        <w:rPr>
          <w:rFonts w:ascii="Times New Roman" w:eastAsiaTheme="majorEastAsia" w:hAnsi="Times New Roman" w:cs="Times New Roman"/>
          <w:i/>
          <w:iCs/>
        </w:rPr>
        <w:t>: O Filósofo do Bom Ânimo</w:t>
      </w:r>
    </w:p>
    <w:p w14:paraId="1742ABCF" w14:textId="77777777" w:rsidR="0003312E" w:rsidRDefault="00000000">
      <w:pPr>
        <w:spacing w:after="0" w:line="240" w:lineRule="auto"/>
        <w:jc w:val="both"/>
        <w:rPr>
          <w:rFonts w:ascii="Times New Roman" w:eastAsiaTheme="majorEastAsia" w:hAnsi="Times New Roman" w:cs="Times New Roman"/>
        </w:rPr>
      </w:pPr>
      <w:r>
        <w:rPr>
          <w:rFonts w:ascii="Times New Roman" w:eastAsiaTheme="majorEastAsia" w:hAnsi="Times New Roman" w:cs="Times New Roman"/>
          <w:b/>
          <w:bCs/>
        </w:rPr>
        <w:t>Epílogo: O Cérebro Etimológico: Palavras como Fósseis Vivos</w:t>
      </w:r>
      <w:r>
        <w:rPr>
          <w:rFonts w:ascii="Times New Roman" w:eastAsiaTheme="majorEastAsia" w:hAnsi="Times New Roman" w:cs="Times New Roman"/>
        </w:rPr>
        <w:br/>
      </w:r>
      <w:r>
        <w:rPr>
          <w:rFonts w:ascii="Times New Roman" w:eastAsiaTheme="majorEastAsia" w:hAnsi="Times New Roman" w:cs="Times New Roman"/>
          <w:i/>
          <w:iCs/>
        </w:rPr>
        <w:t>Figura E.1: O Cérebro como Arquivo Vivo de Significados</w:t>
      </w:r>
      <w:r>
        <w:rPr>
          <w:rFonts w:ascii="Times New Roman" w:eastAsiaTheme="majorEastAsia" w:hAnsi="Times New Roman" w:cs="Times New Roman"/>
        </w:rPr>
        <w:br/>
      </w:r>
      <w:r>
        <w:rPr>
          <w:rFonts w:ascii="Times New Roman" w:eastAsiaTheme="majorEastAsia" w:hAnsi="Times New Roman" w:cs="Times New Roman"/>
          <w:i/>
          <w:iCs/>
        </w:rPr>
        <w:t xml:space="preserve">Figura E.2: </w:t>
      </w:r>
      <w:proofErr w:type="spellStart"/>
      <w:r>
        <w:rPr>
          <w:rFonts w:ascii="Times New Roman" w:eastAsiaTheme="majorEastAsia" w:hAnsi="Times New Roman" w:cs="Times New Roman"/>
          <w:i/>
          <w:iCs/>
        </w:rPr>
        <w:t>Owsei</w:t>
      </w:r>
      <w:proofErr w:type="spellEnd"/>
      <w:r>
        <w:rPr>
          <w:rFonts w:ascii="Times New Roman" w:eastAsiaTheme="majorEastAsia" w:hAnsi="Times New Roman" w:cs="Times New Roman"/>
          <w:i/>
          <w:iCs/>
        </w:rPr>
        <w:t xml:space="preserve"> </w:t>
      </w:r>
      <w:proofErr w:type="spellStart"/>
      <w:r>
        <w:rPr>
          <w:rFonts w:ascii="Times New Roman" w:eastAsiaTheme="majorEastAsia" w:hAnsi="Times New Roman" w:cs="Times New Roman"/>
          <w:i/>
          <w:iCs/>
        </w:rPr>
        <w:t>Temkin</w:t>
      </w:r>
      <w:proofErr w:type="spellEnd"/>
      <w:r>
        <w:rPr>
          <w:rFonts w:ascii="Times New Roman" w:eastAsiaTheme="majorEastAsia" w:hAnsi="Times New Roman" w:cs="Times New Roman"/>
          <w:i/>
          <w:iCs/>
        </w:rPr>
        <w:t xml:space="preserve"> e Oliver Sacks: As Duas Faces da Medicina Narrativa</w:t>
      </w:r>
    </w:p>
    <w:p w14:paraId="73C5D713" w14:textId="77777777" w:rsidR="0003312E" w:rsidRDefault="00000000">
      <w:pPr>
        <w:spacing w:after="0" w:line="240" w:lineRule="auto"/>
        <w:rPr>
          <w:rFonts w:ascii="Times New Roman" w:eastAsia="SimSun" w:hAnsi="Times New Roman" w:cs="Times New Roman"/>
          <w:b/>
          <w:bCs/>
          <w:sz w:val="24"/>
          <w:szCs w:val="24"/>
          <w:lang w:eastAsia="zh-CN"/>
        </w:rPr>
      </w:pPr>
      <w:r>
        <w:rPr>
          <w:rFonts w:ascii="Times New Roman" w:hAnsi="Times New Roman" w:cs="Times New Roman"/>
          <w:b/>
          <w:bCs/>
          <w:sz w:val="24"/>
        </w:rPr>
        <w:br w:type="page"/>
      </w:r>
    </w:p>
    <w:tbl>
      <w:tblPr>
        <w:tblStyle w:val="Tabelacomgrade"/>
        <w:tblpPr w:leftFromText="141" w:rightFromText="141" w:vertAnchor="page" w:horzAnchor="margin" w:tblpY="1203"/>
        <w:tblW w:w="850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Look w:val="04A0" w:firstRow="1" w:lastRow="0" w:firstColumn="1" w:lastColumn="0" w:noHBand="0" w:noVBand="1"/>
      </w:tblPr>
      <w:tblGrid>
        <w:gridCol w:w="4353"/>
        <w:gridCol w:w="4152"/>
      </w:tblGrid>
      <w:tr w:rsidR="0003312E" w14:paraId="25454DBB" w14:textId="77777777">
        <w:trPr>
          <w:trHeight w:val="470"/>
        </w:trPr>
        <w:tc>
          <w:tcPr>
            <w:tcW w:w="8505" w:type="dxa"/>
            <w:gridSpan w:val="2"/>
            <w:tcBorders>
              <w:top w:val="nil"/>
              <w:left w:val="nil"/>
              <w:bottom w:val="nil"/>
              <w:right w:val="nil"/>
            </w:tcBorders>
          </w:tcPr>
          <w:p w14:paraId="07D8DA8F" w14:textId="77777777" w:rsidR="0003312E" w:rsidRDefault="00000000">
            <w:pPr>
              <w:pBdr>
                <w:left w:val="single" w:sz="80" w:space="4" w:color="7F7F7F" w:themeColor="text1" w:themeTint="80"/>
                <w:bottom w:val="single" w:sz="8" w:space="4" w:color="7F7F7F" w:themeColor="text1" w:themeTint="80"/>
              </w:pBdr>
              <w:spacing w:after="0" w:line="240" w:lineRule="auto"/>
              <w:rPr>
                <w:rFonts w:ascii="Times New Roman" w:eastAsia="SimSun" w:hAnsi="Times New Roman" w:cs="Times New Roman"/>
                <w:sz w:val="20"/>
                <w:szCs w:val="20"/>
              </w:rPr>
            </w:pPr>
            <w:r>
              <w:rPr>
                <w:rStyle w:val="Forte"/>
                <w:rFonts w:ascii="Times New Roman" w:hAnsi="Times New Roman" w:cs="Times New Roman"/>
                <w:sz w:val="20"/>
                <w:szCs w:val="20"/>
              </w:rPr>
              <w:lastRenderedPageBreak/>
              <w:t xml:space="preserve">Capítulo </w:t>
            </w:r>
            <w:proofErr w:type="gramStart"/>
            <w:r>
              <w:rPr>
                <w:rStyle w:val="Forte"/>
                <w:rFonts w:ascii="Times New Roman" w:hAnsi="Times New Roman" w:cs="Times New Roman"/>
                <w:sz w:val="20"/>
                <w:szCs w:val="20"/>
              </w:rPr>
              <w:t>0  -</w:t>
            </w:r>
            <w:proofErr w:type="gramEnd"/>
            <w:r>
              <w:rPr>
                <w:rStyle w:val="Forte"/>
                <w:rFonts w:ascii="Times New Roman" w:hAnsi="Times New Roman" w:cs="Times New Roman"/>
                <w:sz w:val="20"/>
                <w:szCs w:val="20"/>
              </w:rPr>
              <w:t xml:space="preserve">  </w:t>
            </w:r>
            <w:r>
              <w:rPr>
                <w:rFonts w:ascii="Times New Roman" w:eastAsiaTheme="majorEastAsia" w:hAnsi="Times New Roman" w:cs="Times New Roman"/>
                <w:b/>
                <w:bCs/>
              </w:rPr>
              <w:t xml:space="preserve">As Raízes da </w:t>
            </w:r>
            <w:proofErr w:type="spellStart"/>
            <w:r>
              <w:rPr>
                <w:rFonts w:ascii="Times New Roman" w:eastAsiaTheme="majorEastAsia" w:hAnsi="Times New Roman" w:cs="Times New Roman"/>
                <w:b/>
                <w:bCs/>
              </w:rPr>
              <w:t>Neuroetimologia</w:t>
            </w:r>
            <w:proofErr w:type="spellEnd"/>
            <w:r>
              <w:rPr>
                <w:rFonts w:ascii="Times New Roman" w:eastAsiaTheme="majorEastAsia" w:hAnsi="Times New Roman" w:cs="Times New Roman"/>
                <w:b/>
                <w:bCs/>
              </w:rPr>
              <w:t>: Diálogos entre Palavra e Cérebro</w:t>
            </w:r>
          </w:p>
        </w:tc>
      </w:tr>
      <w:tr w:rsidR="0003312E" w14:paraId="6A4616C3" w14:textId="77777777">
        <w:trPr>
          <w:trHeight w:val="675"/>
        </w:trPr>
        <w:tc>
          <w:tcPr>
            <w:tcW w:w="8505" w:type="dxa"/>
            <w:gridSpan w:val="2"/>
            <w:tcBorders>
              <w:top w:val="nil"/>
              <w:left w:val="nil"/>
              <w:bottom w:val="nil"/>
              <w:right w:val="nil"/>
            </w:tcBorders>
          </w:tcPr>
          <w:p w14:paraId="6EC3D819" w14:textId="77777777" w:rsidR="0003312E" w:rsidRDefault="00000000">
            <w:pPr>
              <w:spacing w:after="0" w:line="240" w:lineRule="auto"/>
              <w:rPr>
                <w:rFonts w:ascii="Times New Roman" w:hAnsi="Times New Roman" w:cs="Times New Roman"/>
                <w:sz w:val="20"/>
                <w:szCs w:val="20"/>
              </w:rPr>
            </w:pPr>
            <w:r>
              <w:rPr>
                <w:rStyle w:val="Forte"/>
                <w:rFonts w:ascii="Times New Roman" w:eastAsia="Segoe UI" w:hAnsi="Times New Roman" w:cs="Times New Roman"/>
                <w:b w:val="0"/>
                <w:bCs w:val="0"/>
                <w:i/>
                <w:iCs/>
                <w:sz w:val="20"/>
                <w:szCs w:val="20"/>
                <w:shd w:val="clear" w:color="auto" w:fill="FFFFFF"/>
              </w:rPr>
              <w:t>"As palavras, por si sós, carregam uma carga de imagens e associações, metáforas embutidas, ressonâncias históricas; e isso é especialmente verdadeiro para as palavras que denotam cores. Elas são, como alguém já disse, 'fósseis de poesia'. Para o Sr. I., privado da experiência real da cor, essas ressonâncias e associações tornaram-se mais importantes do que nunca."</w:t>
            </w:r>
            <w:r>
              <w:rPr>
                <w:rFonts w:ascii="Times New Roman" w:hAnsi="Times New Roman" w:cs="Times New Roman"/>
                <w:i/>
                <w:iCs/>
                <w:sz w:val="20"/>
                <w:szCs w:val="20"/>
              </w:rPr>
              <w:t xml:space="preserve"> </w:t>
            </w:r>
            <w:r>
              <w:rPr>
                <w:rFonts w:ascii="Times New Roman" w:hAnsi="Times New Roman" w:cs="Times New Roman"/>
                <w:sz w:val="20"/>
                <w:szCs w:val="20"/>
              </w:rPr>
              <w:t xml:space="preserve">-  </w:t>
            </w:r>
            <w:r>
              <w:rPr>
                <w:rFonts w:ascii="Times New Roman" w:eastAsia="Segoe UI" w:hAnsi="Times New Roman" w:cs="Times New Roman"/>
                <w:sz w:val="20"/>
                <w:szCs w:val="20"/>
                <w:shd w:val="clear" w:color="auto" w:fill="FFFFFF"/>
              </w:rPr>
              <w:t>Oliver Sacks, em </w:t>
            </w:r>
            <w:r>
              <w:rPr>
                <w:rStyle w:val="Forte"/>
                <w:rFonts w:ascii="Times New Roman" w:eastAsia="Segoe UI" w:hAnsi="Times New Roman" w:cs="Times New Roman"/>
                <w:b w:val="0"/>
                <w:bCs w:val="0"/>
                <w:sz w:val="20"/>
                <w:szCs w:val="20"/>
                <w:shd w:val="clear" w:color="auto" w:fill="FFFFFF"/>
              </w:rPr>
              <w:t>"O Caso do Pintor Daltônico"</w:t>
            </w:r>
          </w:p>
        </w:tc>
      </w:tr>
      <w:tr w:rsidR="0003312E" w14:paraId="18CEC9EB" w14:textId="77777777">
        <w:tc>
          <w:tcPr>
            <w:tcW w:w="4353" w:type="dxa"/>
            <w:tcBorders>
              <w:top w:val="nil"/>
              <w:left w:val="nil"/>
              <w:bottom w:val="nil"/>
              <w:right w:val="nil"/>
            </w:tcBorders>
          </w:tcPr>
          <w:p w14:paraId="1DE43565" w14:textId="77777777" w:rsidR="0003312E" w:rsidRDefault="00000000">
            <w:pPr>
              <w:spacing w:after="0" w:line="240" w:lineRule="auto"/>
              <w:ind w:firstLine="709"/>
              <w:rPr>
                <w:rStyle w:val="Forte"/>
                <w:rFonts w:ascii="Times New Roman" w:eastAsia="Garamond" w:hAnsi="Times New Roman" w:cs="Times New Roman"/>
                <w:sz w:val="20"/>
                <w:szCs w:val="20"/>
              </w:rPr>
            </w:pPr>
            <w:r>
              <w:rPr>
                <w:rFonts w:ascii="Times New Roman" w:hAnsi="Times New Roman" w:cs="Times New Roman"/>
                <w:noProof/>
                <w:sz w:val="20"/>
                <w:szCs w:val="20"/>
              </w:rPr>
              <w:drawing>
                <wp:inline distT="0" distB="0" distL="0" distR="0" wp14:anchorId="41D9B771" wp14:editId="585F42B1">
                  <wp:extent cx="1425575" cy="1800225"/>
                  <wp:effectExtent l="0" t="0" r="3175" b="0"/>
                  <wp:docPr id="173057452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574525" name="Imagem 1"/>
                          <pic:cNvPicPr>
                            <a:picLocks noChangeAspect="1"/>
                          </pic:cNvPicPr>
                        </pic:nvPicPr>
                        <pic:blipFill>
                          <a:blip r:embed="rId10">
                            <a:clrChange>
                              <a:clrFrom>
                                <a:srgbClr val="FCFBFC"/>
                              </a:clrFrom>
                              <a:clrTo>
                                <a:srgbClr val="FCFBFC">
                                  <a:alpha val="0"/>
                                </a:srgbClr>
                              </a:clrTo>
                            </a:clrChange>
                            <a:extLst>
                              <a:ext uri="{BEBA8EAE-BF5A-486C-A8C5-ECC9F3942E4B}">
                                <a14:imgProps xmlns:a14="http://schemas.microsoft.com/office/drawing/2010/main">
                                  <a14:imgLayer r:embed="rId11">
                                    <a14:imgEffect>
                                      <a14:saturation sat="0"/>
                                    </a14:imgEffect>
                                  </a14:imgLayer>
                                </a14:imgProps>
                              </a:ext>
                            </a:extLst>
                          </a:blip>
                          <a:stretch>
                            <a:fillRect/>
                          </a:stretch>
                        </pic:blipFill>
                        <pic:spPr>
                          <a:xfrm>
                            <a:off x="0" y="0"/>
                            <a:ext cx="1434927" cy="1811301"/>
                          </a:xfrm>
                          <a:prstGeom prst="rect">
                            <a:avLst/>
                          </a:prstGeom>
                        </pic:spPr>
                      </pic:pic>
                    </a:graphicData>
                  </a:graphic>
                </wp:inline>
              </w:drawing>
            </w:r>
          </w:p>
        </w:tc>
        <w:tc>
          <w:tcPr>
            <w:tcW w:w="4152" w:type="dxa"/>
            <w:tcBorders>
              <w:top w:val="nil"/>
              <w:left w:val="nil"/>
              <w:bottom w:val="nil"/>
              <w:right w:val="nil"/>
            </w:tcBorders>
          </w:tcPr>
          <w:p w14:paraId="56E13583" w14:textId="77777777" w:rsidR="0003312E" w:rsidRDefault="00000000">
            <w:pPr>
              <w:spacing w:after="0" w:line="240" w:lineRule="auto"/>
              <w:ind w:firstLine="709"/>
              <w:rPr>
                <w:rStyle w:val="Forte"/>
                <w:rFonts w:ascii="Times New Roman" w:eastAsia="Garamond" w:hAnsi="Times New Roman" w:cs="Times New Roman"/>
                <w:sz w:val="20"/>
                <w:szCs w:val="20"/>
              </w:rPr>
            </w:pPr>
            <w:r>
              <w:rPr>
                <w:rFonts w:ascii="Times New Roman" w:eastAsia="SimSun" w:hAnsi="Times New Roman" w:cs="Times New Roman"/>
                <w:noProof/>
                <w:sz w:val="20"/>
                <w:szCs w:val="20"/>
              </w:rPr>
              <w:drawing>
                <wp:inline distT="0" distB="0" distL="114300" distR="114300" wp14:anchorId="598E5591" wp14:editId="447590A4">
                  <wp:extent cx="1370330" cy="1738630"/>
                  <wp:effectExtent l="0" t="0" r="1270" b="0"/>
                  <wp:docPr id="5" name="Imagem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3" descr="IMG_256"/>
                          <pic:cNvPicPr>
                            <a:picLocks noChangeAspect="1"/>
                          </pic:cNvPicPr>
                        </pic:nvPicPr>
                        <pic:blipFill>
                          <a:blip r:embed="rId12"/>
                          <a:stretch>
                            <a:fillRect/>
                          </a:stretch>
                        </pic:blipFill>
                        <pic:spPr>
                          <a:xfrm>
                            <a:off x="0" y="0"/>
                            <a:ext cx="1370330" cy="1738630"/>
                          </a:xfrm>
                          <a:prstGeom prst="rect">
                            <a:avLst/>
                          </a:prstGeom>
                          <a:noFill/>
                          <a:ln w="9525">
                            <a:noFill/>
                          </a:ln>
                        </pic:spPr>
                      </pic:pic>
                    </a:graphicData>
                  </a:graphic>
                </wp:inline>
              </w:drawing>
            </w:r>
          </w:p>
        </w:tc>
      </w:tr>
      <w:tr w:rsidR="0003312E" w14:paraId="1DBF3E40" w14:textId="77777777">
        <w:trPr>
          <w:trHeight w:val="476"/>
        </w:trPr>
        <w:tc>
          <w:tcPr>
            <w:tcW w:w="4353" w:type="dxa"/>
            <w:tcBorders>
              <w:top w:val="nil"/>
              <w:left w:val="nil"/>
              <w:bottom w:val="nil"/>
              <w:right w:val="nil"/>
            </w:tcBorders>
          </w:tcPr>
          <w:p w14:paraId="5025025A" w14:textId="77777777" w:rsidR="0003312E" w:rsidRDefault="00000000">
            <w:pPr>
              <w:pStyle w:val="NormalWeb"/>
              <w:spacing w:beforeAutospacing="0" w:after="0" w:afterAutospacing="0" w:line="240" w:lineRule="auto"/>
              <w:rPr>
                <w:rStyle w:val="Forte"/>
                <w:rFonts w:eastAsia="Garamond"/>
                <w:sz w:val="20"/>
                <w:szCs w:val="20"/>
                <w:lang w:val="pt-BR"/>
              </w:rPr>
            </w:pPr>
            <w:r>
              <w:rPr>
                <w:rFonts w:eastAsiaTheme="majorEastAsia"/>
                <w:i/>
                <w:iCs/>
                <w:lang w:val="pt-BR"/>
              </w:rPr>
              <w:t>Figura 0.1: O Voo das Palavras na Trama do Corpo e do Tempo</w:t>
            </w:r>
          </w:p>
        </w:tc>
        <w:tc>
          <w:tcPr>
            <w:tcW w:w="4152" w:type="dxa"/>
            <w:tcBorders>
              <w:top w:val="nil"/>
              <w:left w:val="nil"/>
              <w:bottom w:val="nil"/>
              <w:right w:val="nil"/>
            </w:tcBorders>
          </w:tcPr>
          <w:p w14:paraId="36D82990" w14:textId="77777777" w:rsidR="0003312E" w:rsidRDefault="00000000">
            <w:pPr>
              <w:spacing w:after="0" w:line="240" w:lineRule="auto"/>
              <w:jc w:val="both"/>
              <w:rPr>
                <w:rStyle w:val="Forte"/>
                <w:rFonts w:ascii="Times New Roman" w:eastAsia="Garamond" w:hAnsi="Times New Roman" w:cs="Times New Roman"/>
                <w:sz w:val="20"/>
                <w:szCs w:val="20"/>
              </w:rPr>
            </w:pPr>
            <w:r>
              <w:rPr>
                <w:rFonts w:ascii="Times New Roman" w:eastAsiaTheme="majorEastAsia" w:hAnsi="Times New Roman" w:cs="Times New Roman"/>
                <w:i/>
                <w:iCs/>
              </w:rPr>
              <w:t>Figura 0.2: Isidoro de Sevilha: O Cartógrafo que Mapeou a Alma das Palavras</w:t>
            </w:r>
          </w:p>
        </w:tc>
      </w:tr>
    </w:tbl>
    <w:p w14:paraId="4CC3D4EC" w14:textId="77777777" w:rsidR="0003312E" w:rsidRDefault="0003312E">
      <w:pPr>
        <w:pStyle w:val="NormalWeb"/>
        <w:spacing w:beforeAutospacing="0" w:after="0" w:afterAutospacing="0" w:line="360" w:lineRule="auto"/>
        <w:ind w:firstLine="709"/>
        <w:jc w:val="both"/>
        <w:rPr>
          <w:b/>
          <w:bCs/>
          <w:sz w:val="24"/>
          <w:lang w:val="pt-BR"/>
        </w:rPr>
      </w:pPr>
    </w:p>
    <w:p w14:paraId="0FCC3A01" w14:textId="77777777" w:rsidR="0003312E" w:rsidRDefault="00000000">
      <w:pPr>
        <w:pStyle w:val="NormalWeb"/>
        <w:spacing w:beforeAutospacing="0" w:after="0" w:afterAutospacing="0" w:line="360" w:lineRule="auto"/>
        <w:ind w:firstLine="709"/>
        <w:jc w:val="both"/>
        <w:rPr>
          <w:sz w:val="24"/>
          <w:lang w:val="pt-BR"/>
        </w:rPr>
      </w:pPr>
      <w:proofErr w:type="gramStart"/>
      <w:r>
        <w:rPr>
          <w:b/>
          <w:bCs/>
          <w:sz w:val="24"/>
          <w:lang w:val="pt-BR"/>
        </w:rPr>
        <w:t>As  figuras</w:t>
      </w:r>
      <w:proofErr w:type="gramEnd"/>
      <w:r>
        <w:rPr>
          <w:b/>
          <w:bCs/>
          <w:sz w:val="24"/>
          <w:lang w:val="pt-BR"/>
        </w:rPr>
        <w:t xml:space="preserve">  de Abertura: Quando a Linguagem Ganha Vida</w:t>
      </w:r>
    </w:p>
    <w:p w14:paraId="28D9EACB" w14:textId="77777777" w:rsidR="0003312E" w:rsidRDefault="00000000">
      <w:pPr>
        <w:pStyle w:val="NormalWeb"/>
        <w:spacing w:beforeAutospacing="0" w:after="0" w:afterAutospacing="0" w:line="360" w:lineRule="auto"/>
        <w:ind w:firstLine="709"/>
        <w:jc w:val="both"/>
        <w:rPr>
          <w:sz w:val="24"/>
          <w:lang w:val="pt-BR"/>
        </w:rPr>
      </w:pPr>
      <w:r>
        <w:rPr>
          <w:sz w:val="24"/>
          <w:lang w:val="pt-BR"/>
        </w:rPr>
        <w:t xml:space="preserve">As palavras da medicina estão longe de ser entidades estáticas; elas migram, sofrem metamorfoses e renascem através dos séculos, como ilustram </w:t>
      </w:r>
      <w:proofErr w:type="gramStart"/>
      <w:r>
        <w:rPr>
          <w:sz w:val="24"/>
          <w:lang w:val="pt-BR"/>
        </w:rPr>
        <w:t>as  figuras</w:t>
      </w:r>
      <w:proofErr w:type="gramEnd"/>
      <w:r>
        <w:rPr>
          <w:sz w:val="24"/>
          <w:lang w:val="pt-BR"/>
        </w:rPr>
        <w:t xml:space="preserve">  que abrem este capítulo. Dois exemplos são particularmente reveladores dessa jornada. A palavra neurônio se origina do grego </w:t>
      </w:r>
      <w:proofErr w:type="spellStart"/>
      <w:r>
        <w:rPr>
          <w:i/>
          <w:iCs/>
          <w:sz w:val="24"/>
          <w:lang w:val="pt-BR"/>
        </w:rPr>
        <w:t>neûron</w:t>
      </w:r>
      <w:proofErr w:type="spellEnd"/>
      <w:r>
        <w:rPr>
          <w:sz w:val="24"/>
          <w:lang w:val="pt-BR"/>
        </w:rPr>
        <w:t>, um termo que inicialmente designava "tendão", evocando a imagem de algo que tensiona e conecta, tal como as cordas de um instrumento. Já histeria emerge da crença em um útero errante (</w:t>
      </w:r>
      <w:proofErr w:type="spellStart"/>
      <w:r>
        <w:rPr>
          <w:i/>
          <w:iCs/>
          <w:sz w:val="24"/>
          <w:lang w:val="pt-BR"/>
        </w:rPr>
        <w:t>hystéra</w:t>
      </w:r>
      <w:proofErr w:type="spellEnd"/>
      <w:r>
        <w:rPr>
          <w:sz w:val="24"/>
          <w:lang w:val="pt-BR"/>
        </w:rPr>
        <w:t xml:space="preserve">), que os antigos gregos imaginavam percorrer o corpo feminino como uma criatura inquieta, causando sintomas inexplicáveis. Esses termos transcendem a função de meros rótulos clínicos. São narrativas vivas que evoluíram em paralelo com nossa compreensão do corpo e da mente. Cada palavra médica é, em essência, uma biografia </w:t>
      </w:r>
      <w:proofErr w:type="gramStart"/>
      <w:r>
        <w:rPr>
          <w:sz w:val="24"/>
          <w:lang w:val="pt-BR"/>
        </w:rPr>
        <w:t>cultural  -</w:t>
      </w:r>
      <w:proofErr w:type="gramEnd"/>
      <w:r>
        <w:rPr>
          <w:sz w:val="24"/>
          <w:lang w:val="pt-BR"/>
        </w:rPr>
        <w:t xml:space="preserve">  uma tradição que se reinventa continuamente, mas nunca perde completamente seu rastro original.</w:t>
      </w:r>
    </w:p>
    <w:p w14:paraId="4B112A96" w14:textId="77777777" w:rsidR="0003312E" w:rsidRDefault="0003312E">
      <w:pPr>
        <w:pStyle w:val="NormalWeb"/>
        <w:spacing w:beforeAutospacing="0" w:after="0" w:afterAutospacing="0" w:line="360" w:lineRule="auto"/>
        <w:ind w:firstLine="709"/>
        <w:jc w:val="both"/>
        <w:rPr>
          <w:color w:val="00B050"/>
          <w:sz w:val="24"/>
          <w:lang w:val="pt-BR"/>
        </w:rPr>
      </w:pPr>
    </w:p>
    <w:p w14:paraId="6C9BA936" w14:textId="77777777" w:rsidR="0003312E" w:rsidRDefault="00000000">
      <w:pPr>
        <w:pStyle w:val="NormalWeb"/>
        <w:spacing w:beforeAutospacing="0" w:after="0" w:afterAutospacing="0" w:line="360" w:lineRule="auto"/>
        <w:ind w:firstLine="709"/>
        <w:jc w:val="both"/>
        <w:rPr>
          <w:b/>
          <w:bCs/>
          <w:sz w:val="24"/>
          <w:lang w:val="pt-BR"/>
        </w:rPr>
      </w:pPr>
      <w:r>
        <w:rPr>
          <w:b/>
          <w:bCs/>
          <w:sz w:val="24"/>
          <w:lang w:val="pt-BR"/>
        </w:rPr>
        <w:t>História da Etimologia</w:t>
      </w:r>
    </w:p>
    <w:p w14:paraId="2AB76BF6" w14:textId="77777777" w:rsidR="0003312E" w:rsidRDefault="00000000">
      <w:pPr>
        <w:pStyle w:val="NormalWeb"/>
        <w:spacing w:beforeAutospacing="0" w:after="0" w:afterAutospacing="0" w:line="360" w:lineRule="auto"/>
        <w:ind w:firstLine="709"/>
        <w:jc w:val="both"/>
        <w:rPr>
          <w:sz w:val="24"/>
          <w:lang w:val="pt-BR"/>
        </w:rPr>
      </w:pPr>
      <w:r>
        <w:rPr>
          <w:sz w:val="24"/>
          <w:lang w:val="pt-BR"/>
        </w:rPr>
        <w:t>A história da etimologia traça uma evolução fascinante: começando com as reflexões filosóficas de Heráclito e Platão na Grécia Antiga, passando pela compilação enciclopédica de Isidoro de Sevilha na Alta Idade Média, que via a etimologia como chave para compreender a essência das coisas. Mário Eduardo Viaro (2015) faz uma revisão panorâmica sobre esta história.</w:t>
      </w:r>
    </w:p>
    <w:p w14:paraId="59B59335" w14:textId="77777777" w:rsidR="0003312E" w:rsidRDefault="00000000">
      <w:pPr>
        <w:pStyle w:val="NormalWeb"/>
        <w:spacing w:beforeAutospacing="0" w:after="0" w:afterAutospacing="0" w:line="360" w:lineRule="auto"/>
        <w:ind w:firstLine="709"/>
        <w:jc w:val="both"/>
        <w:rPr>
          <w:sz w:val="24"/>
          <w:lang w:val="pt-BR"/>
        </w:rPr>
      </w:pPr>
      <w:r>
        <w:rPr>
          <w:sz w:val="24"/>
          <w:lang w:val="pt-BR"/>
        </w:rPr>
        <w:t>No século VII, enquanto a Europa se reorganizava após a queda de Roma, Isidoro de Sevilha criou uma obra que transcendeu sua época. Ele não estava apenas compilando um dicionário, mas construindo um atlas conceitual. Sua "</w:t>
      </w:r>
      <w:proofErr w:type="spellStart"/>
      <w:r>
        <w:rPr>
          <w:sz w:val="24"/>
          <w:lang w:val="pt-BR"/>
        </w:rPr>
        <w:t>Etymologiae</w:t>
      </w:r>
      <w:proofErr w:type="spellEnd"/>
      <w:r>
        <w:rPr>
          <w:sz w:val="24"/>
          <w:lang w:val="pt-BR"/>
        </w:rPr>
        <w:t xml:space="preserve">" ia além de um simples </w:t>
      </w:r>
      <w:r>
        <w:rPr>
          <w:sz w:val="24"/>
          <w:lang w:val="pt-BR"/>
        </w:rPr>
        <w:lastRenderedPageBreak/>
        <w:t>compêndio de termos: era uma verdadeira cartografia do pensamento, onde cada palavra revelava uma conexão profunda entre linguagem e realidade.</w:t>
      </w:r>
    </w:p>
    <w:p w14:paraId="25DD461A" w14:textId="77777777" w:rsidR="0003312E" w:rsidRDefault="00000000">
      <w:pPr>
        <w:pStyle w:val="NormalWeb"/>
        <w:spacing w:beforeAutospacing="0" w:after="0" w:afterAutospacing="0" w:line="360" w:lineRule="auto"/>
        <w:ind w:firstLine="709"/>
        <w:jc w:val="both"/>
        <w:rPr>
          <w:sz w:val="24"/>
          <w:lang w:val="pt-BR"/>
        </w:rPr>
      </w:pPr>
      <w:r>
        <w:rPr>
          <w:sz w:val="24"/>
          <w:lang w:val="pt-BR"/>
        </w:rPr>
        <w:t xml:space="preserve">Para Isidoro, a etimologia era uma forma de compreender a essência do que era nomeado. Essa visão encontrou, mais de um milênio depois, um paralelo funcional numa descoberta central da neurociência moderna: a de que o cérebro processa palavras como redes de significado, não como unidades isoladas. Interessantemente, este santo e arcebispo, hoje também considerado o padroeiro da Internet, pode ser visto menos como um precursor direto e mais como uma figura cujo projeto intelectual – o de mapear as conexões entre palavras e realidade – encontra um eco distante e funcional no que hoje chamamos de </w:t>
      </w:r>
      <w:proofErr w:type="spellStart"/>
      <w:r>
        <w:rPr>
          <w:sz w:val="24"/>
          <w:lang w:val="pt-BR"/>
        </w:rPr>
        <w:t>neuroetimologia</w:t>
      </w:r>
      <w:proofErr w:type="spellEnd"/>
      <w:r>
        <w:rPr>
          <w:sz w:val="24"/>
          <w:lang w:val="pt-BR"/>
        </w:rPr>
        <w:t>. As "</w:t>
      </w:r>
      <w:proofErr w:type="spellStart"/>
      <w:r>
        <w:rPr>
          <w:i/>
          <w:iCs/>
          <w:sz w:val="24"/>
          <w:lang w:val="pt-BR"/>
        </w:rPr>
        <w:t>Etymologiae</w:t>
      </w:r>
      <w:proofErr w:type="spellEnd"/>
      <w:r>
        <w:rPr>
          <w:sz w:val="24"/>
          <w:lang w:val="pt-BR"/>
        </w:rPr>
        <w:t xml:space="preserve">" </w:t>
      </w:r>
      <w:proofErr w:type="spellStart"/>
      <w:r>
        <w:rPr>
          <w:sz w:val="24"/>
          <w:lang w:val="pt-BR"/>
        </w:rPr>
        <w:t>foram</w:t>
      </w:r>
      <w:proofErr w:type="spellEnd"/>
      <w:r>
        <w:rPr>
          <w:sz w:val="24"/>
          <w:lang w:val="pt-BR"/>
        </w:rPr>
        <w:t xml:space="preserve"> uma das primeiras enciclopédias medievais e o primeiro mapa sistemático das relações entre palavras e a realidade que representam - um trabalho que, séculos depois, encontraria eco nos circuitos neurais desvendados pela ciência moderna.</w:t>
      </w:r>
    </w:p>
    <w:p w14:paraId="34D711DD" w14:textId="77777777" w:rsidR="0003312E" w:rsidRDefault="00000000">
      <w:pPr>
        <w:pStyle w:val="NormalWeb"/>
        <w:spacing w:beforeAutospacing="0" w:after="0" w:afterAutospacing="0" w:line="360" w:lineRule="auto"/>
        <w:ind w:firstLine="709"/>
        <w:jc w:val="both"/>
        <w:rPr>
          <w:sz w:val="24"/>
          <w:lang w:val="pt-BR"/>
        </w:rPr>
      </w:pPr>
      <w:r>
        <w:rPr>
          <w:sz w:val="24"/>
          <w:lang w:val="pt-BR"/>
        </w:rPr>
        <w:t xml:space="preserve">O Renascimento trouxe o ponto de virada metodológico com </w:t>
      </w:r>
      <w:proofErr w:type="spellStart"/>
      <w:r>
        <w:rPr>
          <w:sz w:val="24"/>
          <w:lang w:val="pt-BR"/>
        </w:rPr>
        <w:t>Nebrija</w:t>
      </w:r>
      <w:proofErr w:type="spellEnd"/>
      <w:r>
        <w:rPr>
          <w:sz w:val="24"/>
          <w:lang w:val="pt-BR"/>
        </w:rPr>
        <w:t xml:space="preserve">, que percebeu o castelhano como latim modificado e esboçou as primeiras "leis fonéticas", trabalho depois expandido por Nunes de Leão para o português. O século XVIII preparou o terreno com Leibniz e </w:t>
      </w:r>
      <w:proofErr w:type="spellStart"/>
      <w:r>
        <w:rPr>
          <w:sz w:val="24"/>
          <w:lang w:val="pt-BR"/>
        </w:rPr>
        <w:t>Gyarmathi</w:t>
      </w:r>
      <w:proofErr w:type="spellEnd"/>
      <w:r>
        <w:rPr>
          <w:sz w:val="24"/>
          <w:lang w:val="pt-BR"/>
        </w:rPr>
        <w:t xml:space="preserve">, mas a verdadeira revolução científica ocorreu no século XIX com </w:t>
      </w:r>
      <w:proofErr w:type="spellStart"/>
      <w:r>
        <w:rPr>
          <w:sz w:val="24"/>
          <w:lang w:val="pt-BR"/>
        </w:rPr>
        <w:t>Rask</w:t>
      </w:r>
      <w:proofErr w:type="spellEnd"/>
      <w:r>
        <w:rPr>
          <w:sz w:val="24"/>
          <w:lang w:val="pt-BR"/>
        </w:rPr>
        <w:t xml:space="preserve">, cujo trabalho visionário de 1818 estabeleceu os fundamentos da etimologia moderna - embora tenha sido injustamente ofuscado por autores alemães como Bopp, Grimm e </w:t>
      </w:r>
      <w:proofErr w:type="spellStart"/>
      <w:r>
        <w:rPr>
          <w:sz w:val="24"/>
          <w:lang w:val="pt-BR"/>
        </w:rPr>
        <w:t>Schleicher</w:t>
      </w:r>
      <w:proofErr w:type="spellEnd"/>
      <w:r>
        <w:rPr>
          <w:sz w:val="24"/>
          <w:lang w:val="pt-BR"/>
        </w:rPr>
        <w:t>.</w:t>
      </w:r>
    </w:p>
    <w:p w14:paraId="39D50A86" w14:textId="77777777" w:rsidR="0003312E" w:rsidRDefault="00000000">
      <w:pPr>
        <w:pStyle w:val="NormalWeb"/>
        <w:spacing w:beforeAutospacing="0" w:after="0" w:afterAutospacing="0" w:line="360" w:lineRule="auto"/>
        <w:ind w:firstLine="709"/>
        <w:jc w:val="both"/>
        <w:rPr>
          <w:sz w:val="24"/>
          <w:lang w:val="pt-BR"/>
        </w:rPr>
      </w:pPr>
      <w:r>
        <w:rPr>
          <w:sz w:val="24"/>
          <w:lang w:val="pt-BR"/>
        </w:rPr>
        <w:t xml:space="preserve">No século XX o campo se tornou mais complexo: </w:t>
      </w:r>
      <w:proofErr w:type="spellStart"/>
      <w:r>
        <w:rPr>
          <w:sz w:val="24"/>
          <w:lang w:val="pt-BR"/>
        </w:rPr>
        <w:t>Schuchardt</w:t>
      </w:r>
      <w:proofErr w:type="spellEnd"/>
      <w:r>
        <w:rPr>
          <w:sz w:val="24"/>
          <w:lang w:val="pt-BR"/>
        </w:rPr>
        <w:t xml:space="preserve"> contestou o mecanicismo das leis fonéticas, Meyer-</w:t>
      </w:r>
      <w:proofErr w:type="spellStart"/>
      <w:r>
        <w:rPr>
          <w:sz w:val="24"/>
          <w:lang w:val="pt-BR"/>
        </w:rPr>
        <w:t>Lübke</w:t>
      </w:r>
      <w:proofErr w:type="spellEnd"/>
      <w:r>
        <w:rPr>
          <w:sz w:val="24"/>
          <w:lang w:val="pt-BR"/>
        </w:rPr>
        <w:t xml:space="preserve"> sintetizou décadas de pesquisa e o movimento "</w:t>
      </w:r>
      <w:proofErr w:type="spellStart"/>
      <w:r>
        <w:rPr>
          <w:i/>
          <w:iCs/>
          <w:sz w:val="24"/>
          <w:lang w:val="pt-BR"/>
        </w:rPr>
        <w:t>Wörter</w:t>
      </w:r>
      <w:proofErr w:type="spellEnd"/>
      <w:r>
        <w:rPr>
          <w:i/>
          <w:iCs/>
          <w:sz w:val="24"/>
          <w:lang w:val="pt-BR"/>
        </w:rPr>
        <w:t xml:space="preserve"> </w:t>
      </w:r>
      <w:proofErr w:type="spellStart"/>
      <w:r>
        <w:rPr>
          <w:i/>
          <w:iCs/>
          <w:sz w:val="24"/>
          <w:lang w:val="pt-BR"/>
        </w:rPr>
        <w:t>und</w:t>
      </w:r>
      <w:proofErr w:type="spellEnd"/>
      <w:r>
        <w:rPr>
          <w:i/>
          <w:iCs/>
          <w:sz w:val="24"/>
          <w:lang w:val="pt-BR"/>
        </w:rPr>
        <w:t xml:space="preserve"> </w:t>
      </w:r>
      <w:proofErr w:type="spellStart"/>
      <w:r>
        <w:rPr>
          <w:i/>
          <w:iCs/>
          <w:sz w:val="24"/>
          <w:lang w:val="pt-BR"/>
        </w:rPr>
        <w:t>Sachen</w:t>
      </w:r>
      <w:proofErr w:type="spellEnd"/>
      <w:r>
        <w:rPr>
          <w:sz w:val="24"/>
          <w:lang w:val="pt-BR"/>
        </w:rPr>
        <w:t>" integrou a etimologia com a cultura material, reconhecendo que para entender uma palavra é preciso compreender também o objeto que ela designa.</w:t>
      </w:r>
    </w:p>
    <w:p w14:paraId="3D019C35" w14:textId="77777777" w:rsidR="0003312E" w:rsidRDefault="0003312E">
      <w:pPr>
        <w:pStyle w:val="NormalWeb"/>
        <w:spacing w:beforeAutospacing="0" w:after="0" w:afterAutospacing="0" w:line="360" w:lineRule="auto"/>
        <w:ind w:firstLine="709"/>
        <w:jc w:val="both"/>
        <w:rPr>
          <w:sz w:val="24"/>
          <w:lang w:val="pt-BR"/>
        </w:rPr>
      </w:pPr>
    </w:p>
    <w:p w14:paraId="01D27BD1" w14:textId="77777777" w:rsidR="0003312E" w:rsidRDefault="00000000">
      <w:pPr>
        <w:pStyle w:val="NormalWeb"/>
        <w:spacing w:beforeAutospacing="0" w:after="0" w:afterAutospacing="0" w:line="360" w:lineRule="auto"/>
        <w:ind w:firstLine="709"/>
        <w:jc w:val="both"/>
        <w:rPr>
          <w:sz w:val="24"/>
          <w:lang w:val="pt-BR"/>
        </w:rPr>
      </w:pPr>
      <w:r>
        <w:rPr>
          <w:b/>
          <w:bCs/>
          <w:sz w:val="24"/>
          <w:lang w:val="pt-BR"/>
        </w:rPr>
        <w:t>Etimologia como Paleontologia da Mente: Palavras como Fósseis Vivos</w:t>
      </w:r>
    </w:p>
    <w:p w14:paraId="02E4BD3F" w14:textId="77777777" w:rsidR="0003312E" w:rsidRDefault="00000000">
      <w:pPr>
        <w:pStyle w:val="NormalWeb"/>
        <w:spacing w:beforeAutospacing="0" w:after="0" w:afterAutospacing="0" w:line="360" w:lineRule="auto"/>
        <w:ind w:firstLine="709"/>
        <w:jc w:val="both"/>
        <w:rPr>
          <w:sz w:val="24"/>
          <w:lang w:val="pt-BR"/>
        </w:rPr>
      </w:pPr>
      <w:r>
        <w:rPr>
          <w:sz w:val="24"/>
          <w:lang w:val="pt-BR"/>
        </w:rPr>
        <w:t>Quando pronunciamos termos como êxtase (do grego </w:t>
      </w:r>
      <w:proofErr w:type="spellStart"/>
      <w:r>
        <w:rPr>
          <w:i/>
          <w:iCs/>
          <w:sz w:val="24"/>
          <w:lang w:val="pt-BR"/>
        </w:rPr>
        <w:t>ékstasis</w:t>
      </w:r>
      <w:proofErr w:type="spellEnd"/>
      <w:r>
        <w:rPr>
          <w:sz w:val="24"/>
          <w:lang w:val="pt-BR"/>
        </w:rPr>
        <w:t>, "sair de si") ou lucidez (do latim </w:t>
      </w:r>
      <w:r>
        <w:rPr>
          <w:i/>
          <w:iCs/>
          <w:sz w:val="24"/>
          <w:lang w:val="pt-BR"/>
        </w:rPr>
        <w:t>lux</w:t>
      </w:r>
      <w:r>
        <w:rPr>
          <w:sz w:val="24"/>
          <w:lang w:val="pt-BR"/>
        </w:rPr>
        <w:t xml:space="preserve">, "luz"), não estamos apenas utilizando vocábulos clínicos. Estamos, na verdade, evocando experiências humanas profundas que transcendem o tempo. Como argumenta Philip </w:t>
      </w:r>
      <w:proofErr w:type="spellStart"/>
      <w:r>
        <w:rPr>
          <w:sz w:val="24"/>
          <w:lang w:val="pt-BR"/>
        </w:rPr>
        <w:t>Durkin</w:t>
      </w:r>
      <w:proofErr w:type="spellEnd"/>
      <w:r>
        <w:rPr>
          <w:sz w:val="24"/>
          <w:lang w:val="pt-BR"/>
        </w:rPr>
        <w:t xml:space="preserve"> (2009) em </w:t>
      </w:r>
      <w:r>
        <w:rPr>
          <w:i/>
          <w:iCs/>
          <w:sz w:val="24"/>
          <w:lang w:val="pt-BR"/>
        </w:rPr>
        <w:t xml:space="preserve">The Oxford </w:t>
      </w:r>
      <w:proofErr w:type="spellStart"/>
      <w:r>
        <w:rPr>
          <w:i/>
          <w:iCs/>
          <w:sz w:val="24"/>
          <w:lang w:val="pt-BR"/>
        </w:rPr>
        <w:t>Guide</w:t>
      </w:r>
      <w:proofErr w:type="spellEnd"/>
      <w:r>
        <w:rPr>
          <w:i/>
          <w:iCs/>
          <w:sz w:val="24"/>
          <w:lang w:val="pt-BR"/>
        </w:rPr>
        <w:t xml:space="preserve"> </w:t>
      </w:r>
      <w:proofErr w:type="spellStart"/>
      <w:r>
        <w:rPr>
          <w:i/>
          <w:iCs/>
          <w:sz w:val="24"/>
          <w:lang w:val="pt-BR"/>
        </w:rPr>
        <w:t>to</w:t>
      </w:r>
      <w:proofErr w:type="spellEnd"/>
      <w:r>
        <w:rPr>
          <w:i/>
          <w:iCs/>
          <w:sz w:val="24"/>
          <w:lang w:val="pt-BR"/>
        </w:rPr>
        <w:t xml:space="preserve"> </w:t>
      </w:r>
      <w:proofErr w:type="spellStart"/>
      <w:r>
        <w:rPr>
          <w:i/>
          <w:iCs/>
          <w:sz w:val="24"/>
          <w:lang w:val="pt-BR"/>
        </w:rPr>
        <w:t>Etymology</w:t>
      </w:r>
      <w:proofErr w:type="spellEnd"/>
      <w:r>
        <w:rPr>
          <w:sz w:val="24"/>
          <w:lang w:val="pt-BR"/>
        </w:rPr>
        <w:t>, a etimologia não se resume a uma busca antiquária por origens. Ela é uma disciplina dinâmica que revela como as palavras mudam de forma, significado e uso, carregando consigo camadas intrincadas de história, cultura e poesia.</w:t>
      </w:r>
    </w:p>
    <w:p w14:paraId="1C3CD5D6" w14:textId="77777777" w:rsidR="0003312E" w:rsidRDefault="00000000">
      <w:pPr>
        <w:pStyle w:val="NormalWeb"/>
        <w:spacing w:beforeAutospacing="0" w:after="0" w:afterAutospacing="0" w:line="360" w:lineRule="auto"/>
        <w:ind w:firstLine="709"/>
        <w:jc w:val="both"/>
        <w:rPr>
          <w:sz w:val="24"/>
          <w:lang w:val="pt-BR"/>
        </w:rPr>
      </w:pPr>
      <w:r>
        <w:rPr>
          <w:sz w:val="24"/>
          <w:lang w:val="pt-BR"/>
        </w:rPr>
        <w:t xml:space="preserve">É neste contexto que a </w:t>
      </w:r>
      <w:proofErr w:type="spellStart"/>
      <w:r>
        <w:rPr>
          <w:sz w:val="24"/>
          <w:lang w:val="pt-BR"/>
        </w:rPr>
        <w:t>neuroetimologia</w:t>
      </w:r>
      <w:proofErr w:type="spellEnd"/>
      <w:r>
        <w:rPr>
          <w:sz w:val="24"/>
          <w:lang w:val="pt-BR"/>
        </w:rPr>
        <w:t xml:space="preserve"> emerge como um campo singular. Mais do que uma disciplina rígida, a </w:t>
      </w:r>
      <w:proofErr w:type="spellStart"/>
      <w:r>
        <w:rPr>
          <w:sz w:val="24"/>
          <w:lang w:val="pt-BR"/>
        </w:rPr>
        <w:t>neuroetimologia</w:t>
      </w:r>
      <w:proofErr w:type="spellEnd"/>
      <w:r>
        <w:rPr>
          <w:sz w:val="24"/>
          <w:lang w:val="pt-BR"/>
        </w:rPr>
        <w:t xml:space="preserve"> se apresenta como um método de investigação e ensino que explora não apenas a origem das palavras relacionadas à mente e ao cérebro, mas </w:t>
      </w:r>
      <w:r>
        <w:rPr>
          <w:sz w:val="24"/>
          <w:lang w:val="pt-BR"/>
        </w:rPr>
        <w:lastRenderedPageBreak/>
        <w:t xml:space="preserve">investiga como a sua história molda - e é simultaneamente moldada por - nosso entendimento científico e cultural. Ao analisar termos como "êxtase" ou "lucidez", a </w:t>
      </w:r>
      <w:proofErr w:type="spellStart"/>
      <w:r>
        <w:rPr>
          <w:sz w:val="24"/>
          <w:lang w:val="pt-BR"/>
        </w:rPr>
        <w:t>neuroetimologia</w:t>
      </w:r>
      <w:proofErr w:type="spellEnd"/>
      <w:r>
        <w:rPr>
          <w:sz w:val="24"/>
          <w:lang w:val="pt-BR"/>
        </w:rPr>
        <w:t xml:space="preserve"> ultrapassa os limites da erudição. Ela se transforma em uma ferramenta poderosa para ressignificar experiências estéticas, filosóficas e clínicas, demonstrando que a forma e o significado são indissociáveis.</w:t>
      </w:r>
    </w:p>
    <w:p w14:paraId="64E422D7" w14:textId="77777777" w:rsidR="0003312E" w:rsidRDefault="00000000">
      <w:pPr>
        <w:pStyle w:val="NormalWeb"/>
        <w:spacing w:beforeAutospacing="0" w:after="0" w:afterAutospacing="0" w:line="360" w:lineRule="auto"/>
        <w:ind w:firstLine="709"/>
        <w:jc w:val="both"/>
        <w:rPr>
          <w:sz w:val="24"/>
          <w:lang w:val="pt-BR"/>
        </w:rPr>
      </w:pPr>
      <w:r>
        <w:rPr>
          <w:sz w:val="24"/>
          <w:lang w:val="pt-BR"/>
        </w:rPr>
        <w:t xml:space="preserve">Essa abordagem encontra suporte direto na neurociência cognitiva, particularmente nos trabalhos de Friedemann </w:t>
      </w:r>
      <w:proofErr w:type="spellStart"/>
      <w:r>
        <w:rPr>
          <w:sz w:val="24"/>
          <w:lang w:val="pt-BR"/>
        </w:rPr>
        <w:t>Pulvermüller</w:t>
      </w:r>
      <w:proofErr w:type="spellEnd"/>
      <w:r>
        <w:rPr>
          <w:sz w:val="24"/>
          <w:lang w:val="pt-BR"/>
        </w:rPr>
        <w:t xml:space="preserve"> (1999), que demonstram como as palavras ativam redes neurais específicas associadas aos seus significados. Segundo a teoria da </w:t>
      </w:r>
      <w:proofErr w:type="spellStart"/>
      <w:r>
        <w:rPr>
          <w:i/>
          <w:iCs/>
          <w:sz w:val="24"/>
          <w:lang w:val="pt-BR"/>
        </w:rPr>
        <w:t>embodied</w:t>
      </w:r>
      <w:proofErr w:type="spellEnd"/>
      <w:r>
        <w:rPr>
          <w:i/>
          <w:iCs/>
          <w:sz w:val="24"/>
          <w:lang w:val="pt-BR"/>
        </w:rPr>
        <w:t xml:space="preserve"> </w:t>
      </w:r>
      <w:proofErr w:type="spellStart"/>
      <w:r>
        <w:rPr>
          <w:i/>
          <w:iCs/>
          <w:sz w:val="24"/>
          <w:lang w:val="pt-BR"/>
        </w:rPr>
        <w:t>cognition</w:t>
      </w:r>
      <w:proofErr w:type="spellEnd"/>
      <w:r>
        <w:rPr>
          <w:sz w:val="24"/>
          <w:lang w:val="pt-BR"/>
        </w:rPr>
        <w:t> (cognição incorporada) que ele ajuda a fundamentar, palavras que denotam ações ou sensações podem ativar, respectivamente, sistemas motores e sensoriais do cérebro. A etimologia, sob esta luz, deixa de ser uma mera escavação histórica para se tornar uma verdadeira cartografia cerebral. Se as palavras são fósseis, como propõe a metáfora, então a etimologia torna-se uma espécie de paleontologia da mente - uma disciplina que revela o entrelaçamento inextricável entre linguagem, cognição e cultura, mostrando que o significado não reside apenas na forma lexical, mas na memória viva que ela carrega.</w:t>
      </w:r>
    </w:p>
    <w:p w14:paraId="1F197BD5" w14:textId="77777777" w:rsidR="0003312E" w:rsidRDefault="0003312E">
      <w:pPr>
        <w:pStyle w:val="NormalWeb"/>
        <w:spacing w:beforeAutospacing="0" w:after="0" w:afterAutospacing="0" w:line="360" w:lineRule="auto"/>
        <w:ind w:firstLine="709"/>
        <w:jc w:val="both"/>
        <w:rPr>
          <w:b/>
          <w:bCs/>
          <w:sz w:val="24"/>
          <w:lang w:val="pt-BR"/>
        </w:rPr>
      </w:pPr>
    </w:p>
    <w:p w14:paraId="2FB0592C" w14:textId="77777777" w:rsidR="0003312E" w:rsidRDefault="00000000">
      <w:pPr>
        <w:pStyle w:val="NormalWeb"/>
        <w:spacing w:beforeAutospacing="0" w:after="0" w:afterAutospacing="0" w:line="360" w:lineRule="auto"/>
        <w:ind w:firstLine="709"/>
        <w:jc w:val="both"/>
        <w:rPr>
          <w:sz w:val="24"/>
          <w:lang w:val="pt-BR"/>
        </w:rPr>
      </w:pPr>
      <w:r>
        <w:rPr>
          <w:b/>
          <w:bCs/>
          <w:sz w:val="24"/>
          <w:lang w:val="pt-BR"/>
        </w:rPr>
        <w:t xml:space="preserve">Os Três Pilares da </w:t>
      </w:r>
      <w:proofErr w:type="spellStart"/>
      <w:r>
        <w:rPr>
          <w:b/>
          <w:bCs/>
          <w:sz w:val="24"/>
          <w:lang w:val="pt-BR"/>
        </w:rPr>
        <w:t>Neuroetimologia</w:t>
      </w:r>
      <w:proofErr w:type="spellEnd"/>
    </w:p>
    <w:p w14:paraId="1B59A8B4" w14:textId="77777777" w:rsidR="0003312E" w:rsidRDefault="00000000">
      <w:pPr>
        <w:pStyle w:val="NormalWeb"/>
        <w:spacing w:beforeAutospacing="0" w:after="0" w:afterAutospacing="0" w:line="360" w:lineRule="auto"/>
        <w:ind w:firstLine="709"/>
        <w:jc w:val="both"/>
        <w:rPr>
          <w:sz w:val="24"/>
          <w:lang w:val="pt-BR"/>
        </w:rPr>
      </w:pPr>
      <w:r>
        <w:rPr>
          <w:sz w:val="24"/>
          <w:lang w:val="pt-BR"/>
        </w:rPr>
        <w:t xml:space="preserve">A </w:t>
      </w:r>
      <w:proofErr w:type="spellStart"/>
      <w:r>
        <w:rPr>
          <w:sz w:val="24"/>
          <w:lang w:val="pt-BR"/>
        </w:rPr>
        <w:t>neuroetimologia</w:t>
      </w:r>
      <w:proofErr w:type="spellEnd"/>
      <w:r>
        <w:rPr>
          <w:sz w:val="24"/>
          <w:lang w:val="pt-BR"/>
        </w:rPr>
        <w:t xml:space="preserve"> sustenta-se sobre três pilares fundamentais que, ao se entrelaçarem, oferecem uma compreensão profunda e multidimensional da linguagem médica.</w:t>
      </w:r>
    </w:p>
    <w:p w14:paraId="59A9D250" w14:textId="77777777" w:rsidR="0003312E" w:rsidRDefault="0003312E">
      <w:pPr>
        <w:pStyle w:val="NormalWeb"/>
        <w:spacing w:beforeAutospacing="0" w:after="0" w:afterAutospacing="0" w:line="360" w:lineRule="auto"/>
        <w:ind w:firstLine="709"/>
        <w:jc w:val="both"/>
        <w:rPr>
          <w:b/>
          <w:bCs/>
          <w:sz w:val="24"/>
          <w:lang w:val="pt-BR"/>
        </w:rPr>
      </w:pPr>
    </w:p>
    <w:p w14:paraId="62F6277E" w14:textId="77777777" w:rsidR="0003312E" w:rsidRDefault="00000000">
      <w:pPr>
        <w:pStyle w:val="NormalWeb"/>
        <w:spacing w:beforeAutospacing="0" w:after="0" w:afterAutospacing="0" w:line="360" w:lineRule="auto"/>
        <w:ind w:firstLine="709"/>
        <w:jc w:val="both"/>
        <w:rPr>
          <w:sz w:val="24"/>
        </w:rPr>
      </w:pPr>
      <w:r>
        <w:rPr>
          <w:b/>
          <w:bCs/>
          <w:sz w:val="24"/>
          <w:lang w:val="pt-BR"/>
        </w:rPr>
        <w:t xml:space="preserve">Quadro 0.1. Os Três Pilares da </w:t>
      </w:r>
      <w:proofErr w:type="spellStart"/>
      <w:r>
        <w:rPr>
          <w:b/>
          <w:bCs/>
          <w:sz w:val="24"/>
          <w:lang w:val="pt-BR"/>
        </w:rPr>
        <w:t>Neuroetimologia</w:t>
      </w:r>
      <w:proofErr w:type="spellEnd"/>
      <w:r>
        <w:rPr>
          <w:b/>
          <w:bCs/>
          <w:sz w:val="24"/>
          <w:lang w:val="pt-BR"/>
        </w:rPr>
        <w:t xml:space="preserve"> - </w:t>
      </w:r>
      <w:proofErr w:type="spellStart"/>
      <w:r>
        <w:rPr>
          <w:b/>
          <w:bCs/>
          <w:sz w:val="24"/>
          <w:lang w:val="pt-BR"/>
        </w:rPr>
        <w:t>Hallock</w:t>
      </w:r>
      <w:proofErr w:type="spellEnd"/>
      <w:r>
        <w:rPr>
          <w:b/>
          <w:bCs/>
          <w:sz w:val="24"/>
          <w:lang w:val="pt-BR"/>
        </w:rPr>
        <w:t xml:space="preserve"> et al. </w:t>
      </w:r>
      <w:r>
        <w:rPr>
          <w:b/>
          <w:bCs/>
          <w:sz w:val="24"/>
        </w:rPr>
        <w:t xml:space="preserve">(2016); Mosenthal (2001); </w:t>
      </w:r>
      <w:proofErr w:type="spellStart"/>
      <w:r>
        <w:rPr>
          <w:b/>
          <w:bCs/>
          <w:sz w:val="24"/>
        </w:rPr>
        <w:t>Bujalková</w:t>
      </w:r>
      <w:proofErr w:type="spellEnd"/>
      <w:r>
        <w:rPr>
          <w:b/>
          <w:bCs/>
          <w:sz w:val="24"/>
        </w:rPr>
        <w:t xml:space="preserve"> (2013)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12"/>
        <w:gridCol w:w="3381"/>
        <w:gridCol w:w="3468"/>
      </w:tblGrid>
      <w:tr w:rsidR="0003312E" w14:paraId="722C24C2" w14:textId="77777777">
        <w:trPr>
          <w:tblHeader/>
        </w:trPr>
        <w:tc>
          <w:tcPr>
            <w:tcW w:w="0" w:type="auto"/>
            <w:tcMar>
              <w:top w:w="150" w:type="dxa"/>
              <w:left w:w="0" w:type="dxa"/>
              <w:bottom w:w="150" w:type="dxa"/>
              <w:right w:w="240" w:type="dxa"/>
            </w:tcMar>
            <w:vAlign w:val="center"/>
          </w:tcPr>
          <w:p w14:paraId="18560436" w14:textId="77777777" w:rsidR="0003312E" w:rsidRDefault="00000000">
            <w:pPr>
              <w:pStyle w:val="NormalWeb"/>
              <w:shd w:val="clear" w:color="auto" w:fill="FFFFFF"/>
              <w:spacing w:beforeAutospacing="0" w:after="0" w:afterAutospacing="0" w:line="240" w:lineRule="auto"/>
              <w:rPr>
                <w:b/>
                <w:bCs/>
                <w:sz w:val="20"/>
                <w:szCs w:val="20"/>
              </w:rPr>
            </w:pPr>
            <w:r>
              <w:rPr>
                <w:b/>
                <w:bCs/>
                <w:sz w:val="20"/>
                <w:szCs w:val="20"/>
              </w:rPr>
              <w:t>Pilar</w:t>
            </w:r>
          </w:p>
        </w:tc>
        <w:tc>
          <w:tcPr>
            <w:tcW w:w="0" w:type="auto"/>
            <w:tcMar>
              <w:top w:w="150" w:type="dxa"/>
              <w:left w:w="240" w:type="dxa"/>
              <w:bottom w:w="150" w:type="dxa"/>
              <w:right w:w="240" w:type="dxa"/>
            </w:tcMar>
            <w:vAlign w:val="center"/>
          </w:tcPr>
          <w:p w14:paraId="36EC53A0" w14:textId="77777777" w:rsidR="0003312E" w:rsidRDefault="00000000">
            <w:pPr>
              <w:pStyle w:val="NormalWeb"/>
              <w:shd w:val="clear" w:color="auto" w:fill="FFFFFF"/>
              <w:spacing w:beforeAutospacing="0" w:after="0" w:afterAutospacing="0" w:line="240" w:lineRule="auto"/>
              <w:rPr>
                <w:b/>
                <w:bCs/>
                <w:sz w:val="20"/>
                <w:szCs w:val="20"/>
              </w:rPr>
            </w:pPr>
            <w:proofErr w:type="spellStart"/>
            <w:r>
              <w:rPr>
                <w:b/>
                <w:bCs/>
                <w:sz w:val="20"/>
                <w:szCs w:val="20"/>
              </w:rPr>
              <w:t>Descrição</w:t>
            </w:r>
            <w:proofErr w:type="spellEnd"/>
          </w:p>
        </w:tc>
        <w:tc>
          <w:tcPr>
            <w:tcW w:w="0" w:type="auto"/>
            <w:tcMar>
              <w:top w:w="150" w:type="dxa"/>
              <w:left w:w="240" w:type="dxa"/>
              <w:bottom w:w="150" w:type="dxa"/>
              <w:right w:w="240" w:type="dxa"/>
            </w:tcMar>
            <w:vAlign w:val="center"/>
          </w:tcPr>
          <w:p w14:paraId="2350E9F5" w14:textId="77777777" w:rsidR="0003312E" w:rsidRDefault="00000000">
            <w:pPr>
              <w:pStyle w:val="NormalWeb"/>
              <w:shd w:val="clear" w:color="auto" w:fill="FFFFFF"/>
              <w:spacing w:beforeAutospacing="0" w:after="0" w:afterAutospacing="0" w:line="240" w:lineRule="auto"/>
              <w:rPr>
                <w:b/>
                <w:bCs/>
                <w:sz w:val="20"/>
                <w:szCs w:val="20"/>
              </w:rPr>
            </w:pPr>
            <w:proofErr w:type="spellStart"/>
            <w:r>
              <w:rPr>
                <w:b/>
                <w:bCs/>
                <w:sz w:val="20"/>
                <w:szCs w:val="20"/>
              </w:rPr>
              <w:t>Exemplo</w:t>
            </w:r>
            <w:proofErr w:type="spellEnd"/>
            <w:r>
              <w:rPr>
                <w:b/>
                <w:bCs/>
                <w:sz w:val="20"/>
                <w:szCs w:val="20"/>
              </w:rPr>
              <w:t xml:space="preserve"> </w:t>
            </w:r>
            <w:proofErr w:type="spellStart"/>
            <w:r>
              <w:rPr>
                <w:b/>
                <w:bCs/>
                <w:sz w:val="20"/>
                <w:szCs w:val="20"/>
              </w:rPr>
              <w:t>Prático</w:t>
            </w:r>
            <w:proofErr w:type="spellEnd"/>
          </w:p>
        </w:tc>
      </w:tr>
      <w:tr w:rsidR="0003312E" w14:paraId="7C632FB0" w14:textId="77777777">
        <w:tc>
          <w:tcPr>
            <w:tcW w:w="0" w:type="auto"/>
            <w:tcMar>
              <w:top w:w="150" w:type="dxa"/>
              <w:left w:w="0" w:type="dxa"/>
              <w:bottom w:w="150" w:type="dxa"/>
              <w:right w:w="240" w:type="dxa"/>
            </w:tcMar>
            <w:vAlign w:val="center"/>
          </w:tcPr>
          <w:p w14:paraId="228B0EA1" w14:textId="77777777" w:rsidR="0003312E" w:rsidRDefault="00000000">
            <w:pPr>
              <w:pStyle w:val="NormalWeb"/>
              <w:shd w:val="clear" w:color="auto" w:fill="FFFFFF"/>
              <w:spacing w:beforeAutospacing="0" w:after="0" w:afterAutospacing="0" w:line="240" w:lineRule="auto"/>
              <w:rPr>
                <w:sz w:val="20"/>
                <w:szCs w:val="20"/>
              </w:rPr>
            </w:pPr>
            <w:proofErr w:type="spellStart"/>
            <w:r>
              <w:rPr>
                <w:b/>
                <w:bCs/>
                <w:sz w:val="20"/>
                <w:szCs w:val="20"/>
              </w:rPr>
              <w:t>Desnaturalizar</w:t>
            </w:r>
            <w:proofErr w:type="spellEnd"/>
            <w:r>
              <w:rPr>
                <w:b/>
                <w:bCs/>
                <w:sz w:val="20"/>
                <w:szCs w:val="20"/>
              </w:rPr>
              <w:t xml:space="preserve"> o </w:t>
            </w:r>
            <w:proofErr w:type="spellStart"/>
            <w:r>
              <w:rPr>
                <w:b/>
                <w:bCs/>
                <w:sz w:val="20"/>
                <w:szCs w:val="20"/>
              </w:rPr>
              <w:t>jargão</w:t>
            </w:r>
            <w:proofErr w:type="spellEnd"/>
          </w:p>
        </w:tc>
        <w:tc>
          <w:tcPr>
            <w:tcW w:w="0" w:type="auto"/>
            <w:tcMar>
              <w:top w:w="150" w:type="dxa"/>
              <w:left w:w="240" w:type="dxa"/>
              <w:bottom w:w="150" w:type="dxa"/>
              <w:right w:w="240" w:type="dxa"/>
            </w:tcMar>
            <w:vAlign w:val="center"/>
          </w:tcPr>
          <w:p w14:paraId="4BBCFC8C" w14:textId="77777777" w:rsidR="0003312E" w:rsidRDefault="00000000">
            <w:pPr>
              <w:pStyle w:val="NormalWeb"/>
              <w:shd w:val="clear" w:color="auto" w:fill="FFFFFF"/>
              <w:spacing w:beforeAutospacing="0" w:after="0" w:afterAutospacing="0" w:line="240" w:lineRule="auto"/>
              <w:rPr>
                <w:sz w:val="20"/>
                <w:szCs w:val="20"/>
                <w:lang w:val="pt-BR"/>
              </w:rPr>
            </w:pPr>
            <w:r>
              <w:rPr>
                <w:sz w:val="20"/>
                <w:szCs w:val="20"/>
                <w:lang w:val="pt-BR"/>
              </w:rPr>
              <w:t>Reconhece que termos técnicos não são neutros; carregam metáforas antigas, pressupostos filosóficos e, crucialmente, vieses culturais que, quando ignorados, podem distorcer nossa compreensão científica</w:t>
            </w:r>
          </w:p>
        </w:tc>
        <w:tc>
          <w:tcPr>
            <w:tcW w:w="0" w:type="auto"/>
            <w:tcMar>
              <w:top w:w="150" w:type="dxa"/>
              <w:left w:w="240" w:type="dxa"/>
              <w:bottom w:w="150" w:type="dxa"/>
              <w:right w:w="240" w:type="dxa"/>
            </w:tcMar>
            <w:vAlign w:val="center"/>
          </w:tcPr>
          <w:p w14:paraId="2C315A55" w14:textId="77777777" w:rsidR="0003312E" w:rsidRDefault="00000000">
            <w:pPr>
              <w:pStyle w:val="NormalWeb"/>
              <w:shd w:val="clear" w:color="auto" w:fill="FFFFFF"/>
              <w:spacing w:beforeAutospacing="0" w:after="0" w:afterAutospacing="0" w:line="240" w:lineRule="auto"/>
              <w:rPr>
                <w:sz w:val="20"/>
                <w:szCs w:val="20"/>
                <w:lang w:val="pt-BR"/>
              </w:rPr>
            </w:pPr>
            <w:r>
              <w:rPr>
                <w:sz w:val="20"/>
                <w:szCs w:val="20"/>
                <w:lang w:val="pt-BR"/>
              </w:rPr>
              <w:t>A ideia de que o cérebro é um "sistema de cordas tensionadas" (do grego </w:t>
            </w:r>
            <w:proofErr w:type="spellStart"/>
            <w:r>
              <w:rPr>
                <w:i/>
                <w:iCs/>
                <w:sz w:val="20"/>
                <w:szCs w:val="20"/>
                <w:lang w:val="pt-BR"/>
              </w:rPr>
              <w:t>neûron</w:t>
            </w:r>
            <w:proofErr w:type="spellEnd"/>
            <w:r>
              <w:rPr>
                <w:sz w:val="20"/>
                <w:szCs w:val="20"/>
                <w:lang w:val="pt-BR"/>
              </w:rPr>
              <w:t>, "tendão") ainda influencia implicitamente como estudamos a conectividade neural.</w:t>
            </w:r>
          </w:p>
        </w:tc>
      </w:tr>
      <w:tr w:rsidR="0003312E" w14:paraId="2CCBB7AC" w14:textId="77777777">
        <w:tc>
          <w:tcPr>
            <w:tcW w:w="0" w:type="auto"/>
            <w:tcMar>
              <w:top w:w="150" w:type="dxa"/>
              <w:left w:w="0" w:type="dxa"/>
              <w:bottom w:w="150" w:type="dxa"/>
              <w:right w:w="240" w:type="dxa"/>
            </w:tcMar>
            <w:vAlign w:val="center"/>
          </w:tcPr>
          <w:p w14:paraId="042977B7" w14:textId="77777777" w:rsidR="0003312E" w:rsidRDefault="00000000">
            <w:pPr>
              <w:pStyle w:val="NormalWeb"/>
              <w:shd w:val="clear" w:color="auto" w:fill="FFFFFF"/>
              <w:spacing w:beforeAutospacing="0" w:after="0" w:afterAutospacing="0" w:line="240" w:lineRule="auto"/>
              <w:rPr>
                <w:sz w:val="20"/>
                <w:szCs w:val="20"/>
              </w:rPr>
            </w:pPr>
            <w:proofErr w:type="spellStart"/>
            <w:r>
              <w:rPr>
                <w:b/>
                <w:bCs/>
                <w:sz w:val="20"/>
                <w:szCs w:val="20"/>
              </w:rPr>
              <w:t>Transformar</w:t>
            </w:r>
            <w:proofErr w:type="spellEnd"/>
            <w:r>
              <w:rPr>
                <w:b/>
                <w:bCs/>
                <w:sz w:val="20"/>
                <w:szCs w:val="20"/>
              </w:rPr>
              <w:t xml:space="preserve"> </w:t>
            </w:r>
            <w:proofErr w:type="spellStart"/>
            <w:r>
              <w:rPr>
                <w:b/>
                <w:bCs/>
                <w:sz w:val="20"/>
                <w:szCs w:val="20"/>
              </w:rPr>
              <w:t>aprendizado</w:t>
            </w:r>
            <w:proofErr w:type="spellEnd"/>
            <w:r>
              <w:rPr>
                <w:b/>
                <w:bCs/>
                <w:sz w:val="20"/>
                <w:szCs w:val="20"/>
              </w:rPr>
              <w:t xml:space="preserve"> </w:t>
            </w:r>
            <w:proofErr w:type="spellStart"/>
            <w:r>
              <w:rPr>
                <w:b/>
                <w:bCs/>
                <w:sz w:val="20"/>
                <w:szCs w:val="20"/>
              </w:rPr>
              <w:t>em</w:t>
            </w:r>
            <w:proofErr w:type="spellEnd"/>
            <w:r>
              <w:rPr>
                <w:b/>
                <w:bCs/>
                <w:sz w:val="20"/>
                <w:szCs w:val="20"/>
              </w:rPr>
              <w:t xml:space="preserve"> </w:t>
            </w:r>
            <w:proofErr w:type="spellStart"/>
            <w:r>
              <w:rPr>
                <w:b/>
                <w:bCs/>
                <w:sz w:val="20"/>
                <w:szCs w:val="20"/>
              </w:rPr>
              <w:t>narrativa</w:t>
            </w:r>
            <w:proofErr w:type="spellEnd"/>
          </w:p>
        </w:tc>
        <w:tc>
          <w:tcPr>
            <w:tcW w:w="0" w:type="auto"/>
            <w:tcMar>
              <w:top w:w="150" w:type="dxa"/>
              <w:left w:w="240" w:type="dxa"/>
              <w:bottom w:w="150" w:type="dxa"/>
              <w:right w:w="240" w:type="dxa"/>
            </w:tcMar>
            <w:vAlign w:val="center"/>
          </w:tcPr>
          <w:p w14:paraId="45E255DC" w14:textId="77777777" w:rsidR="0003312E" w:rsidRDefault="00000000">
            <w:pPr>
              <w:pStyle w:val="NormalWeb"/>
              <w:shd w:val="clear" w:color="auto" w:fill="FFFFFF"/>
              <w:spacing w:beforeAutospacing="0" w:after="0" w:afterAutospacing="0" w:line="240" w:lineRule="auto"/>
              <w:rPr>
                <w:sz w:val="20"/>
                <w:szCs w:val="20"/>
                <w:lang w:val="pt-BR"/>
              </w:rPr>
            </w:pPr>
            <w:r>
              <w:rPr>
                <w:sz w:val="20"/>
                <w:szCs w:val="20"/>
                <w:lang w:val="pt-BR"/>
              </w:rPr>
              <w:t>Utiliza a etimologia como ferramenta mnemônica poderosa, convertendo termos técnicos abstratos em histórias vívidas que facilitam a memorização e a compreensão profunda.</w:t>
            </w:r>
          </w:p>
        </w:tc>
        <w:tc>
          <w:tcPr>
            <w:tcW w:w="0" w:type="auto"/>
            <w:tcMar>
              <w:top w:w="150" w:type="dxa"/>
              <w:left w:w="240" w:type="dxa"/>
              <w:bottom w:w="150" w:type="dxa"/>
              <w:right w:w="240" w:type="dxa"/>
            </w:tcMar>
            <w:vAlign w:val="center"/>
          </w:tcPr>
          <w:p w14:paraId="1704C379" w14:textId="77777777" w:rsidR="0003312E" w:rsidRDefault="00000000">
            <w:pPr>
              <w:pStyle w:val="NormalWeb"/>
              <w:shd w:val="clear" w:color="auto" w:fill="FFFFFF"/>
              <w:spacing w:beforeAutospacing="0" w:after="0" w:afterAutospacing="0" w:line="240" w:lineRule="auto"/>
              <w:rPr>
                <w:sz w:val="20"/>
                <w:szCs w:val="20"/>
                <w:lang w:val="pt-BR"/>
              </w:rPr>
            </w:pPr>
            <w:r>
              <w:rPr>
                <w:sz w:val="20"/>
                <w:szCs w:val="20"/>
                <w:lang w:val="pt-BR"/>
              </w:rPr>
              <w:t>Saber que "delírio" vem do latim </w:t>
            </w:r>
            <w:proofErr w:type="spellStart"/>
            <w:r>
              <w:rPr>
                <w:i/>
                <w:iCs/>
                <w:sz w:val="20"/>
                <w:szCs w:val="20"/>
                <w:lang w:val="pt-BR"/>
              </w:rPr>
              <w:t>delirare</w:t>
            </w:r>
            <w:proofErr w:type="spellEnd"/>
            <w:r>
              <w:rPr>
                <w:sz w:val="20"/>
                <w:szCs w:val="20"/>
                <w:lang w:val="pt-BR"/>
              </w:rPr>
              <w:t> ("sair do sulco do arado") cria uma imagem mental forte que torna o conceito clínico mais tangível e memorável.</w:t>
            </w:r>
          </w:p>
        </w:tc>
      </w:tr>
      <w:tr w:rsidR="0003312E" w14:paraId="349AEFAB" w14:textId="77777777">
        <w:tc>
          <w:tcPr>
            <w:tcW w:w="0" w:type="auto"/>
            <w:tcMar>
              <w:top w:w="150" w:type="dxa"/>
              <w:left w:w="0" w:type="dxa"/>
              <w:bottom w:w="150" w:type="dxa"/>
              <w:right w:w="240" w:type="dxa"/>
            </w:tcMar>
            <w:vAlign w:val="center"/>
          </w:tcPr>
          <w:p w14:paraId="1E521C99" w14:textId="77777777" w:rsidR="0003312E" w:rsidRDefault="00000000">
            <w:pPr>
              <w:pStyle w:val="NormalWeb"/>
              <w:shd w:val="clear" w:color="auto" w:fill="FFFFFF"/>
              <w:spacing w:beforeAutospacing="0" w:after="0" w:afterAutospacing="0" w:line="240" w:lineRule="auto"/>
              <w:rPr>
                <w:sz w:val="20"/>
                <w:szCs w:val="20"/>
              </w:rPr>
            </w:pPr>
            <w:proofErr w:type="spellStart"/>
            <w:r>
              <w:rPr>
                <w:b/>
                <w:bCs/>
                <w:sz w:val="20"/>
                <w:szCs w:val="20"/>
              </w:rPr>
              <w:t>Fomentar</w:t>
            </w:r>
            <w:proofErr w:type="spellEnd"/>
            <w:r>
              <w:rPr>
                <w:b/>
                <w:bCs/>
                <w:sz w:val="20"/>
                <w:szCs w:val="20"/>
              </w:rPr>
              <w:t xml:space="preserve"> a </w:t>
            </w:r>
            <w:proofErr w:type="spellStart"/>
            <w:r>
              <w:rPr>
                <w:b/>
                <w:bCs/>
                <w:sz w:val="20"/>
                <w:szCs w:val="20"/>
              </w:rPr>
              <w:t>interdisciplinaridade</w:t>
            </w:r>
            <w:proofErr w:type="spellEnd"/>
          </w:p>
        </w:tc>
        <w:tc>
          <w:tcPr>
            <w:tcW w:w="0" w:type="auto"/>
            <w:tcMar>
              <w:top w:w="150" w:type="dxa"/>
              <w:left w:w="240" w:type="dxa"/>
              <w:bottom w:w="150" w:type="dxa"/>
              <w:right w:w="240" w:type="dxa"/>
            </w:tcMar>
            <w:vAlign w:val="center"/>
          </w:tcPr>
          <w:p w14:paraId="4F1FEEA0" w14:textId="77777777" w:rsidR="0003312E" w:rsidRDefault="00000000">
            <w:pPr>
              <w:pStyle w:val="NormalWeb"/>
              <w:shd w:val="clear" w:color="auto" w:fill="FFFFFF"/>
              <w:spacing w:beforeAutospacing="0" w:after="0" w:afterAutospacing="0" w:line="240" w:lineRule="auto"/>
              <w:rPr>
                <w:sz w:val="20"/>
                <w:szCs w:val="20"/>
                <w:lang w:val="pt-BR"/>
              </w:rPr>
            </w:pPr>
            <w:r>
              <w:rPr>
                <w:sz w:val="20"/>
                <w:szCs w:val="20"/>
                <w:lang w:val="pt-BR"/>
              </w:rPr>
              <w:t xml:space="preserve">Atua como ponte integradora entre disciplinas aparentemente distantes </w:t>
            </w:r>
            <w:r>
              <w:rPr>
                <w:sz w:val="20"/>
                <w:szCs w:val="20"/>
                <w:lang w:val="pt-BR"/>
              </w:rPr>
              <w:lastRenderedPageBreak/>
              <w:t>como filologia, história da medicina e neurociência, revelando conexões ricas entre linguagem, cultura e ciência.</w:t>
            </w:r>
          </w:p>
        </w:tc>
        <w:tc>
          <w:tcPr>
            <w:tcW w:w="0" w:type="auto"/>
            <w:tcMar>
              <w:top w:w="150" w:type="dxa"/>
              <w:left w:w="240" w:type="dxa"/>
              <w:bottom w:w="150" w:type="dxa"/>
              <w:right w:w="240" w:type="dxa"/>
            </w:tcMar>
            <w:vAlign w:val="center"/>
          </w:tcPr>
          <w:p w14:paraId="17125030" w14:textId="77777777" w:rsidR="0003312E" w:rsidRDefault="00000000">
            <w:pPr>
              <w:pStyle w:val="NormalWeb"/>
              <w:shd w:val="clear" w:color="auto" w:fill="FFFFFF"/>
              <w:spacing w:beforeAutospacing="0" w:after="0" w:afterAutospacing="0" w:line="240" w:lineRule="auto"/>
              <w:rPr>
                <w:sz w:val="20"/>
                <w:szCs w:val="20"/>
                <w:lang w:val="pt-BR"/>
              </w:rPr>
            </w:pPr>
            <w:r>
              <w:rPr>
                <w:sz w:val="20"/>
                <w:szCs w:val="20"/>
                <w:lang w:val="pt-BR"/>
              </w:rPr>
              <w:lastRenderedPageBreak/>
              <w:t>A palavra "histeria" (do grego </w:t>
            </w:r>
            <w:proofErr w:type="spellStart"/>
            <w:r>
              <w:rPr>
                <w:i/>
                <w:iCs/>
                <w:sz w:val="20"/>
                <w:szCs w:val="20"/>
                <w:lang w:val="pt-BR"/>
              </w:rPr>
              <w:t>hystéra</w:t>
            </w:r>
            <w:proofErr w:type="spellEnd"/>
            <w:r>
              <w:rPr>
                <w:sz w:val="20"/>
                <w:szCs w:val="20"/>
                <w:lang w:val="pt-BR"/>
              </w:rPr>
              <w:t xml:space="preserve">, "útero") une </w:t>
            </w:r>
            <w:r>
              <w:rPr>
                <w:sz w:val="20"/>
                <w:szCs w:val="20"/>
                <w:lang w:val="pt-BR"/>
              </w:rPr>
              <w:lastRenderedPageBreak/>
              <w:t>anatomia, questões de gênero e história cultural, mostrando como um termo médico carrega séculos de significado social.</w:t>
            </w:r>
          </w:p>
        </w:tc>
      </w:tr>
    </w:tbl>
    <w:p w14:paraId="36E94FBC" w14:textId="77777777" w:rsidR="0003312E" w:rsidRDefault="0003312E">
      <w:pPr>
        <w:pStyle w:val="NormalWeb"/>
        <w:spacing w:beforeAutospacing="0" w:after="0" w:afterAutospacing="0" w:line="360" w:lineRule="auto"/>
        <w:ind w:firstLine="709"/>
        <w:jc w:val="both"/>
        <w:rPr>
          <w:b/>
          <w:bCs/>
          <w:sz w:val="24"/>
          <w:lang w:val="pt-BR"/>
        </w:rPr>
      </w:pPr>
    </w:p>
    <w:p w14:paraId="2FA4A641" w14:textId="77777777" w:rsidR="0003312E" w:rsidRDefault="00000000">
      <w:pPr>
        <w:pStyle w:val="NormalWeb"/>
        <w:spacing w:beforeAutospacing="0" w:after="0" w:afterAutospacing="0" w:line="360" w:lineRule="auto"/>
        <w:ind w:firstLine="709"/>
        <w:jc w:val="both"/>
        <w:rPr>
          <w:b/>
          <w:bCs/>
          <w:sz w:val="24"/>
          <w:lang w:val="pt-BR"/>
        </w:rPr>
      </w:pPr>
      <w:r>
        <w:rPr>
          <w:b/>
          <w:bCs/>
          <w:sz w:val="24"/>
          <w:lang w:val="pt-BR"/>
        </w:rPr>
        <w:t>A Arte de Ensinar Medicina Através das Histórias das Palavras</w:t>
      </w:r>
    </w:p>
    <w:p w14:paraId="5A8AE5FA" w14:textId="77777777" w:rsidR="0003312E" w:rsidRDefault="00000000">
      <w:pPr>
        <w:pStyle w:val="NormalWeb"/>
        <w:spacing w:beforeAutospacing="0" w:after="0" w:afterAutospacing="0" w:line="360" w:lineRule="auto"/>
        <w:ind w:firstLine="709"/>
        <w:jc w:val="both"/>
        <w:rPr>
          <w:sz w:val="24"/>
          <w:lang w:val="pt-BR"/>
        </w:rPr>
      </w:pPr>
      <w:r>
        <w:rPr>
          <w:sz w:val="24"/>
          <w:lang w:val="pt-BR"/>
        </w:rPr>
        <w:t xml:space="preserve">No coração de cada termo médico pulsa uma história à espera de ser revelada. O ensino da terminologia médica transcende a mera memorização de definições: trata-se de compreender a lógica, a história e o contexto cultural por trás das palavras, transformando-as em narrativas vivas que enriquecem a aprendizagem. Mária </w:t>
      </w:r>
      <w:proofErr w:type="spellStart"/>
      <w:r>
        <w:rPr>
          <w:sz w:val="24"/>
          <w:lang w:val="pt-BR"/>
        </w:rPr>
        <w:t>Bujalková</w:t>
      </w:r>
      <w:proofErr w:type="spellEnd"/>
      <w:r>
        <w:rPr>
          <w:sz w:val="24"/>
          <w:lang w:val="pt-BR"/>
        </w:rPr>
        <w:t xml:space="preserve"> (2013) demonstrou de forma convincente como a etimologia pode revolucionar o ensino, convertendo um exercício mecânico em uma verdadeira jornada de descoberta intelectual e cultural.</w:t>
      </w:r>
    </w:p>
    <w:p w14:paraId="1DA583E9" w14:textId="77777777" w:rsidR="0003312E" w:rsidRDefault="00000000">
      <w:pPr>
        <w:pStyle w:val="NormalWeb"/>
        <w:spacing w:beforeAutospacing="0" w:after="0" w:afterAutospacing="0" w:line="360" w:lineRule="auto"/>
        <w:ind w:firstLine="709"/>
        <w:jc w:val="both"/>
        <w:rPr>
          <w:sz w:val="24"/>
          <w:lang w:val="pt-BR"/>
        </w:rPr>
      </w:pPr>
      <w:r>
        <w:rPr>
          <w:sz w:val="24"/>
          <w:lang w:val="pt-BR"/>
        </w:rPr>
        <w:t xml:space="preserve">Quando um estudante aprende que </w:t>
      </w:r>
      <w:r>
        <w:rPr>
          <w:i/>
          <w:iCs/>
          <w:sz w:val="24"/>
          <w:lang w:val="pt-BR"/>
        </w:rPr>
        <w:t>anemia</w:t>
      </w:r>
      <w:r>
        <w:rPr>
          <w:sz w:val="24"/>
          <w:lang w:val="pt-BR"/>
        </w:rPr>
        <w:t xml:space="preserve"> deriva do grego </w:t>
      </w:r>
      <w:proofErr w:type="spellStart"/>
      <w:r>
        <w:rPr>
          <w:i/>
          <w:iCs/>
          <w:sz w:val="24"/>
          <w:lang w:val="pt-BR"/>
        </w:rPr>
        <w:t>an</w:t>
      </w:r>
      <w:proofErr w:type="spellEnd"/>
      <w:r>
        <w:rPr>
          <w:i/>
          <w:iCs/>
          <w:sz w:val="24"/>
          <w:lang w:val="pt-BR"/>
        </w:rPr>
        <w:t>-</w:t>
      </w:r>
      <w:r>
        <w:rPr>
          <w:sz w:val="24"/>
          <w:lang w:val="pt-BR"/>
        </w:rPr>
        <w:t xml:space="preserve"> (“sem”) + </w:t>
      </w:r>
      <w:proofErr w:type="spellStart"/>
      <w:r>
        <w:rPr>
          <w:i/>
          <w:iCs/>
          <w:sz w:val="24"/>
          <w:lang w:val="pt-BR"/>
        </w:rPr>
        <w:t>haima</w:t>
      </w:r>
      <w:proofErr w:type="spellEnd"/>
      <w:r>
        <w:rPr>
          <w:sz w:val="24"/>
          <w:lang w:val="pt-BR"/>
        </w:rPr>
        <w:t xml:space="preserve"> (“sangue”), não está apenas assimilando uma definição clínica. Ele compreende a lógica interna do termo, o modo como os antigos gregos observavam o corpo e nomeavam suas condições, e como a história da medicina influencia a terminologia moderna (</w:t>
      </w:r>
      <w:proofErr w:type="spellStart"/>
      <w:r>
        <w:rPr>
          <w:sz w:val="24"/>
          <w:lang w:val="pt-BR"/>
        </w:rPr>
        <w:t>Mosenthal</w:t>
      </w:r>
      <w:proofErr w:type="spellEnd"/>
      <w:r>
        <w:rPr>
          <w:sz w:val="24"/>
          <w:lang w:val="pt-BR"/>
        </w:rPr>
        <w:t>, 2001). Essa compreensão profunda facilita a fixação do conhecimento não apenas na memória de curto prazo, mas também na imaginação duradoura.</w:t>
      </w:r>
    </w:p>
    <w:p w14:paraId="71C23E2F" w14:textId="77777777" w:rsidR="0003312E" w:rsidRDefault="00000000">
      <w:pPr>
        <w:pStyle w:val="NormalWeb"/>
        <w:spacing w:beforeAutospacing="0" w:after="0" w:afterAutospacing="0" w:line="360" w:lineRule="auto"/>
        <w:ind w:firstLine="709"/>
        <w:jc w:val="both"/>
        <w:rPr>
          <w:sz w:val="24"/>
          <w:lang w:val="pt-BR"/>
        </w:rPr>
      </w:pPr>
      <w:r>
        <w:rPr>
          <w:sz w:val="24"/>
          <w:lang w:val="pt-BR"/>
        </w:rPr>
        <w:t xml:space="preserve">Wulff (2004) e </w:t>
      </w:r>
      <w:proofErr w:type="spellStart"/>
      <w:r>
        <w:rPr>
          <w:sz w:val="24"/>
          <w:lang w:val="pt-BR"/>
        </w:rPr>
        <w:t>Durkin</w:t>
      </w:r>
      <w:proofErr w:type="spellEnd"/>
      <w:r>
        <w:rPr>
          <w:sz w:val="24"/>
          <w:lang w:val="pt-BR"/>
        </w:rPr>
        <w:t xml:space="preserve"> (2015) defendem que o ensino da terminologia médica deve incorporar a história e a etimologia das palavras, pois isso confere significado e contexto autênticos aos termos. Essa complexidade da linguagem média representa um desafio fascinante tanto para historiadores quanto para linguistas. Na mesma linha, Mehta et al. (2020) afirmam que entender a origem de termos como </w:t>
      </w:r>
      <w:proofErr w:type="spellStart"/>
      <w:r>
        <w:rPr>
          <w:i/>
          <w:iCs/>
          <w:sz w:val="24"/>
          <w:lang w:val="pt-BR"/>
        </w:rPr>
        <w:t>neuron</w:t>
      </w:r>
      <w:proofErr w:type="spellEnd"/>
      <w:r>
        <w:rPr>
          <w:sz w:val="24"/>
          <w:lang w:val="pt-BR"/>
        </w:rPr>
        <w:t> ou </w:t>
      </w:r>
      <w:proofErr w:type="spellStart"/>
      <w:r>
        <w:rPr>
          <w:i/>
          <w:iCs/>
          <w:sz w:val="24"/>
          <w:lang w:val="pt-BR"/>
        </w:rPr>
        <w:t>neurone</w:t>
      </w:r>
      <w:proofErr w:type="spellEnd"/>
      <w:r>
        <w:rPr>
          <w:sz w:val="24"/>
          <w:lang w:val="pt-BR"/>
        </w:rPr>
        <w:t xml:space="preserve"> revela não apenas diferenças linguísticas, mas também a trajetória histórica da medicina, da Grécia Antiga aos padrões científicos modernos. Complementando esse raciocínio, </w:t>
      </w:r>
      <w:proofErr w:type="spellStart"/>
      <w:r>
        <w:rPr>
          <w:sz w:val="24"/>
          <w:lang w:val="pt-BR"/>
        </w:rPr>
        <w:t>Hallock</w:t>
      </w:r>
      <w:proofErr w:type="spellEnd"/>
      <w:r>
        <w:rPr>
          <w:sz w:val="24"/>
          <w:lang w:val="pt-BR"/>
        </w:rPr>
        <w:t xml:space="preserve"> et al. (2016) demonstram, em um estudo com 300 termos de neurociência, que o uso da etimologia facilita a aprendizagem, a retenção e a aplicação prática do conhecimento, comprovando o valor pedagógico de contextualizar o vocabulário técnico.</w:t>
      </w:r>
    </w:p>
    <w:p w14:paraId="43D88849" w14:textId="77777777" w:rsidR="0003312E" w:rsidRDefault="00000000">
      <w:pPr>
        <w:pStyle w:val="NormalWeb"/>
        <w:spacing w:beforeAutospacing="0" w:after="0" w:afterAutospacing="0" w:line="360" w:lineRule="auto"/>
        <w:ind w:firstLine="709"/>
        <w:jc w:val="both"/>
        <w:rPr>
          <w:sz w:val="24"/>
          <w:lang w:val="pt-BR"/>
        </w:rPr>
      </w:pPr>
      <w:r>
        <w:rPr>
          <w:sz w:val="24"/>
          <w:lang w:val="pt-BR"/>
        </w:rPr>
        <w:t xml:space="preserve">A prática pedagógica da </w:t>
      </w:r>
      <w:proofErr w:type="spellStart"/>
      <w:r>
        <w:rPr>
          <w:sz w:val="24"/>
          <w:lang w:val="pt-BR"/>
        </w:rPr>
        <w:t>neuroetimologia</w:t>
      </w:r>
      <w:proofErr w:type="spellEnd"/>
      <w:r>
        <w:rPr>
          <w:sz w:val="24"/>
          <w:lang w:val="pt-BR"/>
        </w:rPr>
        <w:t xml:space="preserve"> pode ser estruturada segundo pilares claros, como apresentado por </w:t>
      </w:r>
      <w:proofErr w:type="spellStart"/>
      <w:r>
        <w:rPr>
          <w:sz w:val="24"/>
          <w:lang w:val="pt-BR"/>
        </w:rPr>
        <w:t>Bujalková</w:t>
      </w:r>
      <w:proofErr w:type="spellEnd"/>
      <w:r>
        <w:rPr>
          <w:sz w:val="24"/>
          <w:lang w:val="pt-BR"/>
        </w:rPr>
        <w:t xml:space="preserve"> (2013):</w:t>
      </w:r>
    </w:p>
    <w:p w14:paraId="64F1320F" w14:textId="77777777" w:rsidR="0003312E" w:rsidRDefault="0003312E">
      <w:pPr>
        <w:pStyle w:val="NormalWeb"/>
        <w:spacing w:beforeAutospacing="0" w:after="0" w:afterAutospacing="0" w:line="360" w:lineRule="auto"/>
        <w:ind w:firstLine="709"/>
        <w:jc w:val="both"/>
        <w:rPr>
          <w:b/>
          <w:bCs/>
          <w:sz w:val="24"/>
          <w:lang w:val="pt-BR"/>
        </w:rPr>
      </w:pPr>
    </w:p>
    <w:p w14:paraId="141A459D" w14:textId="77777777" w:rsidR="0003312E" w:rsidRDefault="0003312E">
      <w:pPr>
        <w:pStyle w:val="NormalWeb"/>
        <w:spacing w:beforeAutospacing="0" w:after="0" w:afterAutospacing="0" w:line="360" w:lineRule="auto"/>
        <w:ind w:firstLine="709"/>
        <w:jc w:val="both"/>
        <w:rPr>
          <w:b/>
          <w:bCs/>
          <w:sz w:val="24"/>
          <w:lang w:val="pt-BR"/>
        </w:rPr>
      </w:pPr>
    </w:p>
    <w:p w14:paraId="4EED5B8C" w14:textId="77777777" w:rsidR="0003312E" w:rsidRDefault="0003312E">
      <w:pPr>
        <w:pStyle w:val="NormalWeb"/>
        <w:spacing w:beforeAutospacing="0" w:after="0" w:afterAutospacing="0" w:line="360" w:lineRule="auto"/>
        <w:ind w:firstLine="709"/>
        <w:jc w:val="both"/>
        <w:rPr>
          <w:b/>
          <w:bCs/>
          <w:sz w:val="24"/>
          <w:lang w:val="pt-BR"/>
        </w:rPr>
      </w:pPr>
    </w:p>
    <w:p w14:paraId="02DDD697" w14:textId="77777777" w:rsidR="0003312E" w:rsidRDefault="00000000">
      <w:pPr>
        <w:pStyle w:val="NormalWeb"/>
        <w:spacing w:beforeAutospacing="0" w:after="0" w:afterAutospacing="0" w:line="360" w:lineRule="auto"/>
        <w:ind w:firstLine="709"/>
        <w:jc w:val="both"/>
        <w:rPr>
          <w:sz w:val="24"/>
          <w:lang w:val="pt-BR"/>
        </w:rPr>
      </w:pPr>
      <w:r>
        <w:rPr>
          <w:b/>
          <w:bCs/>
          <w:sz w:val="24"/>
          <w:lang w:val="pt-BR"/>
        </w:rPr>
        <w:lastRenderedPageBreak/>
        <w:t xml:space="preserve">Quadro </w:t>
      </w:r>
      <w:proofErr w:type="gramStart"/>
      <w:r>
        <w:rPr>
          <w:b/>
          <w:bCs/>
          <w:sz w:val="24"/>
          <w:lang w:val="pt-BR"/>
        </w:rPr>
        <w:t>0.2  -</w:t>
      </w:r>
      <w:proofErr w:type="gramEnd"/>
      <w:r>
        <w:rPr>
          <w:b/>
          <w:bCs/>
          <w:sz w:val="24"/>
          <w:lang w:val="pt-BR"/>
        </w:rPr>
        <w:t xml:space="preserve">  Pilares Pedagógicos da </w:t>
      </w:r>
      <w:proofErr w:type="spellStart"/>
      <w:r>
        <w:rPr>
          <w:b/>
          <w:bCs/>
          <w:sz w:val="24"/>
          <w:lang w:val="pt-BR"/>
        </w:rPr>
        <w:t>Neuroetimologia</w:t>
      </w:r>
      <w:proofErr w:type="spellEnd"/>
      <w:r>
        <w:rPr>
          <w:b/>
          <w:bCs/>
          <w:sz w:val="24"/>
          <w:lang w:val="pt-BR"/>
        </w:rPr>
        <w:t xml:space="preserve"> (</w:t>
      </w:r>
      <w:proofErr w:type="spellStart"/>
      <w:r>
        <w:rPr>
          <w:b/>
          <w:bCs/>
          <w:sz w:val="24"/>
          <w:lang w:val="pt-BR"/>
        </w:rPr>
        <w:t>Bujalková</w:t>
      </w:r>
      <w:proofErr w:type="spellEnd"/>
      <w:r>
        <w:rPr>
          <w:b/>
          <w:bCs/>
          <w:sz w:val="24"/>
          <w:lang w:val="pt-BR"/>
        </w:rPr>
        <w:t>, 2013)</w:t>
      </w:r>
    </w:p>
    <w:tbl>
      <w:tblPr>
        <w:tblStyle w:val="TabeladeGradeClara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9"/>
        <w:gridCol w:w="3782"/>
        <w:gridCol w:w="3180"/>
      </w:tblGrid>
      <w:tr w:rsidR="0003312E" w14:paraId="5177778E" w14:textId="77777777">
        <w:tc>
          <w:tcPr>
            <w:tcW w:w="0" w:type="auto"/>
          </w:tcPr>
          <w:p w14:paraId="137E1256" w14:textId="77777777" w:rsidR="0003312E" w:rsidRDefault="00000000">
            <w:pPr>
              <w:pStyle w:val="NormalWeb"/>
              <w:spacing w:beforeAutospacing="0" w:after="0" w:afterAutospacing="0" w:line="240" w:lineRule="auto"/>
              <w:rPr>
                <w:b/>
                <w:bCs/>
                <w:sz w:val="20"/>
                <w:szCs w:val="20"/>
              </w:rPr>
            </w:pPr>
            <w:r>
              <w:rPr>
                <w:b/>
                <w:bCs/>
                <w:sz w:val="20"/>
                <w:szCs w:val="20"/>
              </w:rPr>
              <w:t xml:space="preserve">Pilar </w:t>
            </w:r>
            <w:proofErr w:type="spellStart"/>
            <w:r>
              <w:rPr>
                <w:b/>
                <w:bCs/>
                <w:sz w:val="20"/>
                <w:szCs w:val="20"/>
              </w:rPr>
              <w:t>Pedagógico</w:t>
            </w:r>
            <w:proofErr w:type="spellEnd"/>
          </w:p>
        </w:tc>
        <w:tc>
          <w:tcPr>
            <w:tcW w:w="0" w:type="auto"/>
          </w:tcPr>
          <w:p w14:paraId="6692188D" w14:textId="77777777" w:rsidR="0003312E" w:rsidRDefault="00000000">
            <w:pPr>
              <w:pStyle w:val="NormalWeb"/>
              <w:spacing w:beforeAutospacing="0" w:after="0" w:afterAutospacing="0" w:line="240" w:lineRule="auto"/>
              <w:rPr>
                <w:b/>
                <w:bCs/>
                <w:sz w:val="20"/>
                <w:szCs w:val="20"/>
              </w:rPr>
            </w:pPr>
            <w:proofErr w:type="spellStart"/>
            <w:r>
              <w:rPr>
                <w:b/>
                <w:bCs/>
                <w:sz w:val="20"/>
                <w:szCs w:val="20"/>
              </w:rPr>
              <w:t>Descrição</w:t>
            </w:r>
            <w:proofErr w:type="spellEnd"/>
          </w:p>
        </w:tc>
        <w:tc>
          <w:tcPr>
            <w:tcW w:w="0" w:type="auto"/>
          </w:tcPr>
          <w:p w14:paraId="0DC4C99E" w14:textId="77777777" w:rsidR="0003312E" w:rsidRDefault="00000000">
            <w:pPr>
              <w:pStyle w:val="NormalWeb"/>
              <w:spacing w:beforeAutospacing="0" w:after="0" w:afterAutospacing="0" w:line="240" w:lineRule="auto"/>
              <w:rPr>
                <w:b/>
                <w:bCs/>
                <w:sz w:val="20"/>
                <w:szCs w:val="20"/>
              </w:rPr>
            </w:pPr>
            <w:r>
              <w:rPr>
                <w:b/>
                <w:bCs/>
                <w:sz w:val="20"/>
                <w:szCs w:val="20"/>
              </w:rPr>
              <w:t xml:space="preserve">Impacto no </w:t>
            </w:r>
            <w:proofErr w:type="spellStart"/>
            <w:r>
              <w:rPr>
                <w:b/>
                <w:bCs/>
                <w:sz w:val="20"/>
                <w:szCs w:val="20"/>
              </w:rPr>
              <w:t>Aprendizado</w:t>
            </w:r>
            <w:proofErr w:type="spellEnd"/>
          </w:p>
        </w:tc>
      </w:tr>
      <w:tr w:rsidR="0003312E" w14:paraId="75150599" w14:textId="77777777">
        <w:tc>
          <w:tcPr>
            <w:tcW w:w="0" w:type="auto"/>
          </w:tcPr>
          <w:p w14:paraId="6F327586" w14:textId="77777777" w:rsidR="0003312E" w:rsidRDefault="00000000">
            <w:pPr>
              <w:pStyle w:val="NormalWeb"/>
              <w:spacing w:beforeAutospacing="0" w:after="0" w:afterAutospacing="0" w:line="240" w:lineRule="auto"/>
              <w:rPr>
                <w:b/>
                <w:bCs/>
                <w:sz w:val="20"/>
                <w:szCs w:val="20"/>
              </w:rPr>
            </w:pPr>
            <w:proofErr w:type="spellStart"/>
            <w:r>
              <w:rPr>
                <w:b/>
                <w:bCs/>
                <w:sz w:val="20"/>
                <w:szCs w:val="20"/>
              </w:rPr>
              <w:t>Competência</w:t>
            </w:r>
            <w:proofErr w:type="spellEnd"/>
            <w:r>
              <w:rPr>
                <w:b/>
                <w:bCs/>
                <w:sz w:val="20"/>
                <w:szCs w:val="20"/>
              </w:rPr>
              <w:t xml:space="preserve"> </w:t>
            </w:r>
            <w:proofErr w:type="spellStart"/>
            <w:r>
              <w:rPr>
                <w:b/>
                <w:bCs/>
                <w:sz w:val="20"/>
                <w:szCs w:val="20"/>
              </w:rPr>
              <w:t>terminológica</w:t>
            </w:r>
            <w:proofErr w:type="spellEnd"/>
          </w:p>
        </w:tc>
        <w:tc>
          <w:tcPr>
            <w:tcW w:w="0" w:type="auto"/>
          </w:tcPr>
          <w:p w14:paraId="7DD387F1" w14:textId="77777777" w:rsidR="0003312E" w:rsidRDefault="00000000">
            <w:pPr>
              <w:pStyle w:val="NormalWeb"/>
              <w:spacing w:beforeAutospacing="0" w:after="0" w:afterAutospacing="0" w:line="240" w:lineRule="auto"/>
              <w:rPr>
                <w:sz w:val="20"/>
                <w:szCs w:val="20"/>
                <w:lang w:val="pt-BR"/>
              </w:rPr>
            </w:pPr>
            <w:r>
              <w:rPr>
                <w:sz w:val="20"/>
                <w:szCs w:val="20"/>
                <w:lang w:val="pt-BR"/>
              </w:rPr>
              <w:t>Reconhece o domínio preciso da terminologia como habilidade fundamental, utilizando a etimologia para compreensão mais profunda.</w:t>
            </w:r>
          </w:p>
        </w:tc>
        <w:tc>
          <w:tcPr>
            <w:tcW w:w="0" w:type="auto"/>
          </w:tcPr>
          <w:p w14:paraId="371328E7" w14:textId="77777777" w:rsidR="0003312E" w:rsidRDefault="00000000">
            <w:pPr>
              <w:pStyle w:val="NormalWeb"/>
              <w:spacing w:beforeAutospacing="0" w:after="0" w:afterAutospacing="0" w:line="240" w:lineRule="auto"/>
              <w:rPr>
                <w:sz w:val="20"/>
                <w:szCs w:val="20"/>
                <w:lang w:val="pt-BR"/>
              </w:rPr>
            </w:pPr>
            <w:r>
              <w:rPr>
                <w:sz w:val="20"/>
                <w:szCs w:val="20"/>
                <w:lang w:val="pt-BR"/>
              </w:rPr>
              <w:t>Permite aos estudantes dominar termos com precisão conceitual e confiança clínica.</w:t>
            </w:r>
          </w:p>
        </w:tc>
      </w:tr>
      <w:tr w:rsidR="0003312E" w14:paraId="37A1C903" w14:textId="77777777">
        <w:tc>
          <w:tcPr>
            <w:tcW w:w="0" w:type="auto"/>
          </w:tcPr>
          <w:p w14:paraId="4284BD10" w14:textId="77777777" w:rsidR="0003312E" w:rsidRDefault="00000000">
            <w:pPr>
              <w:pStyle w:val="NormalWeb"/>
              <w:spacing w:beforeAutospacing="0" w:after="0" w:afterAutospacing="0" w:line="240" w:lineRule="auto"/>
              <w:rPr>
                <w:b/>
                <w:bCs/>
                <w:sz w:val="20"/>
                <w:szCs w:val="20"/>
              </w:rPr>
            </w:pPr>
            <w:proofErr w:type="spellStart"/>
            <w:r>
              <w:rPr>
                <w:b/>
                <w:bCs/>
                <w:sz w:val="20"/>
                <w:szCs w:val="20"/>
              </w:rPr>
              <w:t>Contextualização</w:t>
            </w:r>
            <w:proofErr w:type="spellEnd"/>
            <w:r>
              <w:rPr>
                <w:b/>
                <w:bCs/>
                <w:sz w:val="20"/>
                <w:szCs w:val="20"/>
              </w:rPr>
              <w:t xml:space="preserve"> </w:t>
            </w:r>
            <w:proofErr w:type="spellStart"/>
            <w:r>
              <w:rPr>
                <w:b/>
                <w:bCs/>
                <w:sz w:val="20"/>
                <w:szCs w:val="20"/>
              </w:rPr>
              <w:t>histórica</w:t>
            </w:r>
            <w:proofErr w:type="spellEnd"/>
            <w:r>
              <w:rPr>
                <w:b/>
                <w:bCs/>
                <w:sz w:val="20"/>
                <w:szCs w:val="20"/>
              </w:rPr>
              <w:t xml:space="preserve"> e cultural</w:t>
            </w:r>
          </w:p>
        </w:tc>
        <w:tc>
          <w:tcPr>
            <w:tcW w:w="0" w:type="auto"/>
          </w:tcPr>
          <w:p w14:paraId="7955D9AA" w14:textId="77777777" w:rsidR="0003312E" w:rsidRDefault="00000000">
            <w:pPr>
              <w:pStyle w:val="NormalWeb"/>
              <w:spacing w:beforeAutospacing="0" w:after="0" w:afterAutospacing="0" w:line="240" w:lineRule="auto"/>
              <w:rPr>
                <w:sz w:val="20"/>
                <w:szCs w:val="20"/>
                <w:lang w:val="pt-BR"/>
              </w:rPr>
            </w:pPr>
            <w:r>
              <w:rPr>
                <w:sz w:val="20"/>
                <w:szCs w:val="20"/>
                <w:lang w:val="pt-BR"/>
              </w:rPr>
              <w:t>Considera os termos médicos como testemunhas de uma tradição que remonta à Antiguidade.</w:t>
            </w:r>
          </w:p>
        </w:tc>
        <w:tc>
          <w:tcPr>
            <w:tcW w:w="0" w:type="auto"/>
          </w:tcPr>
          <w:p w14:paraId="6D8C3A34" w14:textId="77777777" w:rsidR="0003312E" w:rsidRDefault="00000000">
            <w:pPr>
              <w:pStyle w:val="NormalWeb"/>
              <w:spacing w:beforeAutospacing="0" w:after="0" w:afterAutospacing="0" w:line="240" w:lineRule="auto"/>
              <w:rPr>
                <w:sz w:val="20"/>
                <w:szCs w:val="20"/>
                <w:lang w:val="pt-BR"/>
              </w:rPr>
            </w:pPr>
            <w:r>
              <w:rPr>
                <w:sz w:val="20"/>
                <w:szCs w:val="20"/>
                <w:lang w:val="pt-BR"/>
              </w:rPr>
              <w:t>Transforma listas áridas em experiências ricas e significativas, conectando estudantes à história da medicina.</w:t>
            </w:r>
          </w:p>
        </w:tc>
      </w:tr>
      <w:tr w:rsidR="0003312E" w14:paraId="2D5950AE" w14:textId="77777777">
        <w:tc>
          <w:tcPr>
            <w:tcW w:w="0" w:type="auto"/>
          </w:tcPr>
          <w:p w14:paraId="54A95620" w14:textId="77777777" w:rsidR="0003312E" w:rsidRDefault="00000000">
            <w:pPr>
              <w:pStyle w:val="NormalWeb"/>
              <w:spacing w:beforeAutospacing="0" w:after="0" w:afterAutospacing="0" w:line="240" w:lineRule="auto"/>
              <w:rPr>
                <w:b/>
                <w:bCs/>
                <w:sz w:val="20"/>
                <w:szCs w:val="20"/>
              </w:rPr>
            </w:pPr>
            <w:proofErr w:type="spellStart"/>
            <w:r>
              <w:rPr>
                <w:b/>
                <w:bCs/>
                <w:sz w:val="20"/>
                <w:szCs w:val="20"/>
              </w:rPr>
              <w:t>Resposta</w:t>
            </w:r>
            <w:proofErr w:type="spellEnd"/>
            <w:r>
              <w:rPr>
                <w:b/>
                <w:bCs/>
                <w:sz w:val="20"/>
                <w:szCs w:val="20"/>
              </w:rPr>
              <w:t xml:space="preserve"> </w:t>
            </w:r>
            <w:proofErr w:type="spellStart"/>
            <w:r>
              <w:rPr>
                <w:b/>
                <w:bCs/>
                <w:sz w:val="20"/>
                <w:szCs w:val="20"/>
              </w:rPr>
              <w:t>às</w:t>
            </w:r>
            <w:proofErr w:type="spellEnd"/>
            <w:r>
              <w:rPr>
                <w:b/>
                <w:bCs/>
                <w:sz w:val="20"/>
                <w:szCs w:val="20"/>
              </w:rPr>
              <w:t xml:space="preserve"> </w:t>
            </w:r>
            <w:proofErr w:type="spellStart"/>
            <w:r>
              <w:rPr>
                <w:b/>
                <w:bCs/>
                <w:sz w:val="20"/>
                <w:szCs w:val="20"/>
              </w:rPr>
              <w:t>críticas</w:t>
            </w:r>
            <w:proofErr w:type="spellEnd"/>
          </w:p>
        </w:tc>
        <w:tc>
          <w:tcPr>
            <w:tcW w:w="0" w:type="auto"/>
          </w:tcPr>
          <w:p w14:paraId="7F59E1E3" w14:textId="77777777" w:rsidR="0003312E" w:rsidRDefault="00000000">
            <w:pPr>
              <w:pStyle w:val="NormalWeb"/>
              <w:spacing w:beforeAutospacing="0" w:after="0" w:afterAutospacing="0" w:line="240" w:lineRule="auto"/>
              <w:rPr>
                <w:sz w:val="20"/>
                <w:szCs w:val="20"/>
                <w:lang w:val="pt-BR"/>
              </w:rPr>
            </w:pPr>
            <w:r>
              <w:rPr>
                <w:sz w:val="20"/>
                <w:szCs w:val="20"/>
                <w:lang w:val="pt-BR"/>
              </w:rPr>
              <w:t>Demonstra cientificamente que a etimologia oferece benefícios educacionais reais.</w:t>
            </w:r>
          </w:p>
        </w:tc>
        <w:tc>
          <w:tcPr>
            <w:tcW w:w="0" w:type="auto"/>
          </w:tcPr>
          <w:p w14:paraId="363BC09E" w14:textId="77777777" w:rsidR="0003312E" w:rsidRDefault="00000000">
            <w:pPr>
              <w:pStyle w:val="NormalWeb"/>
              <w:spacing w:beforeAutospacing="0" w:after="0" w:afterAutospacing="0" w:line="240" w:lineRule="auto"/>
              <w:rPr>
                <w:sz w:val="20"/>
                <w:szCs w:val="20"/>
                <w:lang w:val="pt-BR"/>
              </w:rPr>
            </w:pPr>
            <w:r>
              <w:rPr>
                <w:sz w:val="20"/>
                <w:szCs w:val="20"/>
                <w:lang w:val="pt-BR"/>
              </w:rPr>
              <w:t>Eleva a etimologia de acessório cultural a componente central do currículo médico.</w:t>
            </w:r>
          </w:p>
        </w:tc>
      </w:tr>
    </w:tbl>
    <w:p w14:paraId="5678F089" w14:textId="77777777" w:rsidR="0003312E" w:rsidRDefault="0003312E">
      <w:pPr>
        <w:pStyle w:val="NormalWeb"/>
        <w:spacing w:beforeAutospacing="0" w:after="0" w:afterAutospacing="0" w:line="360" w:lineRule="auto"/>
        <w:ind w:firstLine="709"/>
        <w:jc w:val="both"/>
        <w:rPr>
          <w:sz w:val="24"/>
          <w:lang w:val="pt-BR"/>
        </w:rPr>
      </w:pPr>
    </w:p>
    <w:p w14:paraId="78B0A2FD" w14:textId="77777777" w:rsidR="0003312E" w:rsidRDefault="00000000">
      <w:pPr>
        <w:pStyle w:val="NormalWeb"/>
        <w:spacing w:beforeAutospacing="0" w:after="0" w:afterAutospacing="0" w:line="360" w:lineRule="auto"/>
        <w:ind w:firstLine="709"/>
        <w:jc w:val="both"/>
        <w:rPr>
          <w:b/>
          <w:bCs/>
          <w:sz w:val="24"/>
          <w:lang w:val="pt-BR"/>
        </w:rPr>
      </w:pPr>
      <w:r>
        <w:rPr>
          <w:b/>
          <w:bCs/>
          <w:sz w:val="24"/>
          <w:lang w:val="pt-BR"/>
        </w:rPr>
        <w:t>Valor Educacional: Quando a História das Palavras se Torna Ferramenta de Aprendizado</w:t>
      </w:r>
    </w:p>
    <w:p w14:paraId="2B69C157" w14:textId="77777777" w:rsidR="0003312E" w:rsidRDefault="00000000">
      <w:pPr>
        <w:pStyle w:val="NormalWeb"/>
        <w:spacing w:beforeAutospacing="0" w:after="0" w:afterAutospacing="0" w:line="360" w:lineRule="auto"/>
        <w:ind w:firstLine="709"/>
        <w:jc w:val="both"/>
        <w:rPr>
          <w:sz w:val="24"/>
          <w:lang w:val="pt-BR"/>
        </w:rPr>
      </w:pPr>
      <w:r>
        <w:rPr>
          <w:sz w:val="24"/>
          <w:lang w:val="pt-BR"/>
        </w:rPr>
        <w:t>Transformar listas secas de termos médicos em mapas de histórias e significados é o grande mérito da etimologia na educação médica. Ao explorar conexões entre palavras, seus significados e origens, os estudantes passam a compreender não apenas o termo em si, mas também a lógica, a história e o contexto cultural que o moldaram. Para o professor, esta abordagem funciona como uma bússola, abrindo novas possibilidades de ensino e tornando o aprendizado mais envolvente.</w:t>
      </w:r>
    </w:p>
    <w:p w14:paraId="132B0325" w14:textId="77777777" w:rsidR="0003312E" w:rsidRDefault="00000000">
      <w:pPr>
        <w:pStyle w:val="NormalWeb"/>
        <w:spacing w:beforeAutospacing="0" w:after="0" w:afterAutospacing="0" w:line="360" w:lineRule="auto"/>
        <w:ind w:firstLine="709"/>
        <w:jc w:val="both"/>
        <w:rPr>
          <w:sz w:val="24"/>
          <w:lang w:val="pt-BR"/>
        </w:rPr>
      </w:pPr>
      <w:r>
        <w:rPr>
          <w:sz w:val="24"/>
          <w:lang w:val="pt-BR"/>
        </w:rPr>
        <w:t xml:space="preserve">Estudos empíricos confirmam esses benefícios. </w:t>
      </w:r>
      <w:proofErr w:type="spellStart"/>
      <w:r>
        <w:rPr>
          <w:sz w:val="24"/>
          <w:lang w:val="pt-BR"/>
        </w:rPr>
        <w:t>Ebenezer</w:t>
      </w:r>
      <w:proofErr w:type="spellEnd"/>
      <w:r>
        <w:rPr>
          <w:sz w:val="24"/>
          <w:lang w:val="pt-BR"/>
        </w:rPr>
        <w:t xml:space="preserve"> e </w:t>
      </w:r>
      <w:proofErr w:type="spellStart"/>
      <w:r>
        <w:rPr>
          <w:sz w:val="24"/>
          <w:lang w:val="pt-BR"/>
        </w:rPr>
        <w:t>Mohanraj</w:t>
      </w:r>
      <w:proofErr w:type="spellEnd"/>
      <w:r>
        <w:rPr>
          <w:sz w:val="24"/>
          <w:lang w:val="pt-BR"/>
        </w:rPr>
        <w:t xml:space="preserve"> (2020) avaliaram 214 estudantes de medicina, divididos em grupos que receberam instrução com e sem explicações etimológicas sobre osteologia craniana. O grupo exposto à etimologia apresentou melhor desempenho, maior retenção de termos e maior envolvimento com o aprendizado. De forma semelhante, levantamentos com 103 estudantes indicaram que 70% reconheciam a relevância da etimologia, enquanto apenas 6% a consideravam irrelevante, evidenciando seu impacto pedagógico significativo (</w:t>
      </w:r>
      <w:proofErr w:type="spellStart"/>
      <w:r>
        <w:rPr>
          <w:sz w:val="24"/>
          <w:lang w:val="pt-BR"/>
        </w:rPr>
        <w:t>Bujalková</w:t>
      </w:r>
      <w:proofErr w:type="spellEnd"/>
      <w:r>
        <w:rPr>
          <w:sz w:val="24"/>
          <w:lang w:val="pt-BR"/>
        </w:rPr>
        <w:t>, 2013).</w:t>
      </w:r>
    </w:p>
    <w:p w14:paraId="7424626D" w14:textId="77777777" w:rsidR="0003312E" w:rsidRDefault="00000000">
      <w:pPr>
        <w:pStyle w:val="NormalWeb"/>
        <w:spacing w:beforeAutospacing="0" w:after="0" w:afterAutospacing="0" w:line="360" w:lineRule="auto"/>
        <w:ind w:firstLine="709"/>
        <w:jc w:val="both"/>
        <w:rPr>
          <w:sz w:val="24"/>
          <w:lang w:val="pt-BR"/>
        </w:rPr>
      </w:pPr>
      <w:r>
        <w:rPr>
          <w:sz w:val="24"/>
          <w:lang w:val="pt-BR"/>
        </w:rPr>
        <w:t xml:space="preserve">Além disso, a classificação dos termos médicos proposta por </w:t>
      </w:r>
      <w:proofErr w:type="spellStart"/>
      <w:r>
        <w:rPr>
          <w:sz w:val="24"/>
          <w:lang w:val="pt-BR"/>
        </w:rPr>
        <w:t>Bujalková</w:t>
      </w:r>
      <w:proofErr w:type="spellEnd"/>
      <w:r>
        <w:rPr>
          <w:sz w:val="24"/>
          <w:lang w:val="pt-BR"/>
        </w:rPr>
        <w:t xml:space="preserve"> (2013) permite aplicar estratégias didáticas diferenciadas, favorecendo a compreensão:</w:t>
      </w:r>
    </w:p>
    <w:p w14:paraId="32E0F472" w14:textId="77777777" w:rsidR="0003312E" w:rsidRDefault="0003312E">
      <w:pPr>
        <w:pStyle w:val="NormalWeb"/>
        <w:spacing w:beforeAutospacing="0" w:after="0" w:afterAutospacing="0" w:line="360" w:lineRule="auto"/>
        <w:ind w:firstLine="709"/>
        <w:jc w:val="both"/>
        <w:rPr>
          <w:sz w:val="24"/>
          <w:lang w:val="pt-BR"/>
        </w:rPr>
      </w:pPr>
    </w:p>
    <w:p w14:paraId="7B0E9533" w14:textId="77777777" w:rsidR="0003312E" w:rsidRDefault="00000000">
      <w:pPr>
        <w:pStyle w:val="NormalWeb"/>
        <w:spacing w:beforeAutospacing="0" w:after="0" w:afterAutospacing="0" w:line="360" w:lineRule="auto"/>
        <w:jc w:val="both"/>
        <w:rPr>
          <w:sz w:val="24"/>
          <w:lang w:val="pt-BR"/>
        </w:rPr>
      </w:pPr>
      <w:r>
        <w:rPr>
          <w:b/>
          <w:bCs/>
          <w:sz w:val="24"/>
          <w:lang w:val="pt-BR"/>
        </w:rPr>
        <w:t xml:space="preserve">Quadro </w:t>
      </w:r>
      <w:proofErr w:type="gramStart"/>
      <w:r>
        <w:rPr>
          <w:b/>
          <w:bCs/>
          <w:sz w:val="24"/>
          <w:lang w:val="pt-BR"/>
        </w:rPr>
        <w:t>0.3  -</w:t>
      </w:r>
      <w:proofErr w:type="gramEnd"/>
      <w:r>
        <w:rPr>
          <w:b/>
          <w:bCs/>
          <w:sz w:val="24"/>
          <w:lang w:val="pt-BR"/>
        </w:rPr>
        <w:t xml:space="preserve">  Classificação dos Termos Médicos (</w:t>
      </w:r>
      <w:proofErr w:type="spellStart"/>
      <w:r>
        <w:rPr>
          <w:b/>
          <w:bCs/>
          <w:sz w:val="24"/>
          <w:lang w:val="pt-BR"/>
        </w:rPr>
        <w:t>Bujalková</w:t>
      </w:r>
      <w:proofErr w:type="spellEnd"/>
      <w:r>
        <w:rPr>
          <w:b/>
          <w:bCs/>
          <w:sz w:val="24"/>
          <w:lang w:val="pt-BR"/>
        </w:rPr>
        <w:t>, 2013)</w:t>
      </w:r>
    </w:p>
    <w:tbl>
      <w:tblPr>
        <w:tblStyle w:val="TabeladeGradeClara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2139"/>
        <w:gridCol w:w="4225"/>
      </w:tblGrid>
      <w:tr w:rsidR="0003312E" w14:paraId="41726D3B" w14:textId="77777777">
        <w:tc>
          <w:tcPr>
            <w:tcW w:w="0" w:type="auto"/>
          </w:tcPr>
          <w:p w14:paraId="797EB2EB" w14:textId="77777777" w:rsidR="0003312E" w:rsidRDefault="00000000">
            <w:pPr>
              <w:pStyle w:val="NormalWeb"/>
              <w:spacing w:beforeAutospacing="0" w:after="0" w:afterAutospacing="0" w:line="240" w:lineRule="auto"/>
              <w:rPr>
                <w:b/>
                <w:bCs/>
                <w:sz w:val="20"/>
                <w:szCs w:val="20"/>
              </w:rPr>
            </w:pPr>
            <w:proofErr w:type="spellStart"/>
            <w:r>
              <w:rPr>
                <w:b/>
                <w:bCs/>
                <w:sz w:val="20"/>
                <w:szCs w:val="20"/>
              </w:rPr>
              <w:t>Categoria</w:t>
            </w:r>
            <w:proofErr w:type="spellEnd"/>
          </w:p>
        </w:tc>
        <w:tc>
          <w:tcPr>
            <w:tcW w:w="0" w:type="auto"/>
          </w:tcPr>
          <w:p w14:paraId="0CA2E912" w14:textId="77777777" w:rsidR="0003312E" w:rsidRDefault="00000000">
            <w:pPr>
              <w:pStyle w:val="NormalWeb"/>
              <w:spacing w:beforeAutospacing="0" w:after="0" w:afterAutospacing="0" w:line="240" w:lineRule="auto"/>
              <w:rPr>
                <w:b/>
                <w:bCs/>
                <w:sz w:val="20"/>
                <w:szCs w:val="20"/>
              </w:rPr>
            </w:pPr>
            <w:proofErr w:type="spellStart"/>
            <w:r>
              <w:rPr>
                <w:b/>
                <w:bCs/>
                <w:sz w:val="20"/>
                <w:szCs w:val="20"/>
              </w:rPr>
              <w:t>Exemplo</w:t>
            </w:r>
            <w:proofErr w:type="spellEnd"/>
          </w:p>
        </w:tc>
        <w:tc>
          <w:tcPr>
            <w:tcW w:w="0" w:type="auto"/>
          </w:tcPr>
          <w:p w14:paraId="60D40937" w14:textId="77777777" w:rsidR="0003312E" w:rsidRDefault="00000000">
            <w:pPr>
              <w:pStyle w:val="NormalWeb"/>
              <w:spacing w:beforeAutospacing="0" w:after="0" w:afterAutospacing="0" w:line="240" w:lineRule="auto"/>
              <w:rPr>
                <w:b/>
                <w:bCs/>
                <w:sz w:val="20"/>
                <w:szCs w:val="20"/>
              </w:rPr>
            </w:pPr>
            <w:proofErr w:type="spellStart"/>
            <w:r>
              <w:rPr>
                <w:b/>
                <w:bCs/>
                <w:sz w:val="20"/>
                <w:szCs w:val="20"/>
              </w:rPr>
              <w:t>Implicação</w:t>
            </w:r>
            <w:proofErr w:type="spellEnd"/>
            <w:r>
              <w:rPr>
                <w:b/>
                <w:bCs/>
                <w:sz w:val="20"/>
                <w:szCs w:val="20"/>
              </w:rPr>
              <w:t xml:space="preserve"> </w:t>
            </w:r>
            <w:proofErr w:type="spellStart"/>
            <w:r>
              <w:rPr>
                <w:b/>
                <w:bCs/>
                <w:sz w:val="20"/>
                <w:szCs w:val="20"/>
              </w:rPr>
              <w:t>Pedagógica</w:t>
            </w:r>
            <w:proofErr w:type="spellEnd"/>
          </w:p>
        </w:tc>
      </w:tr>
      <w:tr w:rsidR="0003312E" w14:paraId="70E2D1F3" w14:textId="77777777">
        <w:tc>
          <w:tcPr>
            <w:tcW w:w="0" w:type="auto"/>
          </w:tcPr>
          <w:p w14:paraId="5DD539A3" w14:textId="77777777" w:rsidR="0003312E" w:rsidRDefault="00000000">
            <w:pPr>
              <w:pStyle w:val="NormalWeb"/>
              <w:spacing w:beforeAutospacing="0" w:after="0" w:afterAutospacing="0" w:line="240" w:lineRule="auto"/>
              <w:rPr>
                <w:b/>
                <w:bCs/>
                <w:sz w:val="20"/>
                <w:szCs w:val="20"/>
              </w:rPr>
            </w:pPr>
            <w:proofErr w:type="spellStart"/>
            <w:r>
              <w:rPr>
                <w:b/>
                <w:bCs/>
                <w:sz w:val="20"/>
                <w:szCs w:val="20"/>
              </w:rPr>
              <w:t>Etimologia</w:t>
            </w:r>
            <w:proofErr w:type="spellEnd"/>
            <w:r>
              <w:rPr>
                <w:b/>
                <w:bCs/>
                <w:sz w:val="20"/>
                <w:szCs w:val="20"/>
              </w:rPr>
              <w:t xml:space="preserve"> e </w:t>
            </w:r>
            <w:proofErr w:type="spellStart"/>
            <w:r>
              <w:rPr>
                <w:b/>
                <w:bCs/>
                <w:sz w:val="20"/>
                <w:szCs w:val="20"/>
              </w:rPr>
              <w:t>definição</w:t>
            </w:r>
            <w:proofErr w:type="spellEnd"/>
            <w:r>
              <w:rPr>
                <w:b/>
                <w:bCs/>
                <w:sz w:val="20"/>
                <w:szCs w:val="20"/>
              </w:rPr>
              <w:t xml:space="preserve"> </w:t>
            </w:r>
            <w:proofErr w:type="spellStart"/>
            <w:r>
              <w:rPr>
                <w:b/>
                <w:bCs/>
                <w:sz w:val="20"/>
                <w:szCs w:val="20"/>
              </w:rPr>
              <w:t>coincidem</w:t>
            </w:r>
            <w:proofErr w:type="spellEnd"/>
          </w:p>
        </w:tc>
        <w:tc>
          <w:tcPr>
            <w:tcW w:w="0" w:type="auto"/>
          </w:tcPr>
          <w:p w14:paraId="58110DD0" w14:textId="77777777" w:rsidR="0003312E" w:rsidRDefault="00000000">
            <w:pPr>
              <w:pStyle w:val="NormalWeb"/>
              <w:spacing w:beforeAutospacing="0" w:after="0" w:afterAutospacing="0" w:line="240" w:lineRule="auto"/>
              <w:rPr>
                <w:sz w:val="20"/>
                <w:szCs w:val="20"/>
              </w:rPr>
            </w:pPr>
            <w:proofErr w:type="spellStart"/>
            <w:r>
              <w:rPr>
                <w:i/>
                <w:iCs/>
                <w:sz w:val="20"/>
                <w:szCs w:val="20"/>
              </w:rPr>
              <w:t>cor</w:t>
            </w:r>
            <w:proofErr w:type="spellEnd"/>
            <w:r>
              <w:rPr>
                <w:sz w:val="20"/>
                <w:szCs w:val="20"/>
              </w:rPr>
              <w:t xml:space="preserve"> (“</w:t>
            </w:r>
            <w:proofErr w:type="spellStart"/>
            <w:r>
              <w:rPr>
                <w:sz w:val="20"/>
                <w:szCs w:val="20"/>
              </w:rPr>
              <w:t>coração</w:t>
            </w:r>
            <w:proofErr w:type="spellEnd"/>
            <w:r>
              <w:rPr>
                <w:sz w:val="20"/>
                <w:szCs w:val="20"/>
              </w:rPr>
              <w:t xml:space="preserve">”); </w:t>
            </w:r>
            <w:r>
              <w:rPr>
                <w:i/>
                <w:iCs/>
                <w:sz w:val="20"/>
                <w:szCs w:val="20"/>
              </w:rPr>
              <w:t>oculus</w:t>
            </w:r>
            <w:r>
              <w:rPr>
                <w:sz w:val="20"/>
                <w:szCs w:val="20"/>
              </w:rPr>
              <w:t xml:space="preserve"> (“</w:t>
            </w:r>
            <w:proofErr w:type="spellStart"/>
            <w:r>
              <w:rPr>
                <w:sz w:val="20"/>
                <w:szCs w:val="20"/>
              </w:rPr>
              <w:t>olho</w:t>
            </w:r>
            <w:proofErr w:type="spellEnd"/>
            <w:r>
              <w:rPr>
                <w:sz w:val="20"/>
                <w:szCs w:val="20"/>
              </w:rPr>
              <w:t>”)</w:t>
            </w:r>
          </w:p>
        </w:tc>
        <w:tc>
          <w:tcPr>
            <w:tcW w:w="0" w:type="auto"/>
          </w:tcPr>
          <w:p w14:paraId="214BB81C" w14:textId="77777777" w:rsidR="0003312E" w:rsidRDefault="00000000">
            <w:pPr>
              <w:pStyle w:val="NormalWeb"/>
              <w:spacing w:beforeAutospacing="0" w:after="0" w:afterAutospacing="0" w:line="240" w:lineRule="auto"/>
              <w:rPr>
                <w:sz w:val="20"/>
                <w:szCs w:val="20"/>
                <w:lang w:val="pt-BR"/>
              </w:rPr>
            </w:pPr>
            <w:r>
              <w:rPr>
                <w:sz w:val="20"/>
                <w:szCs w:val="20"/>
                <w:lang w:val="pt-BR"/>
              </w:rPr>
              <w:t>Funcionam como âncoras cognitivas estáveis.</w:t>
            </w:r>
          </w:p>
        </w:tc>
      </w:tr>
      <w:tr w:rsidR="0003312E" w14:paraId="0E09541D" w14:textId="77777777">
        <w:tc>
          <w:tcPr>
            <w:tcW w:w="0" w:type="auto"/>
          </w:tcPr>
          <w:p w14:paraId="489D57EE" w14:textId="77777777" w:rsidR="0003312E" w:rsidRDefault="00000000">
            <w:pPr>
              <w:pStyle w:val="NormalWeb"/>
              <w:spacing w:beforeAutospacing="0" w:after="0" w:afterAutospacing="0" w:line="240" w:lineRule="auto"/>
              <w:rPr>
                <w:b/>
                <w:bCs/>
                <w:sz w:val="20"/>
                <w:szCs w:val="20"/>
              </w:rPr>
            </w:pPr>
            <w:proofErr w:type="spellStart"/>
            <w:r>
              <w:rPr>
                <w:b/>
                <w:bCs/>
                <w:sz w:val="20"/>
                <w:szCs w:val="20"/>
              </w:rPr>
              <w:t>Etimologia</w:t>
            </w:r>
            <w:proofErr w:type="spellEnd"/>
            <w:r>
              <w:rPr>
                <w:b/>
                <w:bCs/>
                <w:sz w:val="20"/>
                <w:szCs w:val="20"/>
              </w:rPr>
              <w:t xml:space="preserve"> </w:t>
            </w:r>
            <w:proofErr w:type="spellStart"/>
            <w:r>
              <w:rPr>
                <w:b/>
                <w:bCs/>
                <w:sz w:val="20"/>
                <w:szCs w:val="20"/>
              </w:rPr>
              <w:t>fornece</w:t>
            </w:r>
            <w:proofErr w:type="spellEnd"/>
            <w:r>
              <w:rPr>
                <w:b/>
                <w:bCs/>
                <w:sz w:val="20"/>
                <w:szCs w:val="20"/>
              </w:rPr>
              <w:t xml:space="preserve"> </w:t>
            </w:r>
            <w:proofErr w:type="spellStart"/>
            <w:r>
              <w:rPr>
                <w:b/>
                <w:bCs/>
                <w:sz w:val="20"/>
                <w:szCs w:val="20"/>
              </w:rPr>
              <w:t>pista</w:t>
            </w:r>
            <w:proofErr w:type="spellEnd"/>
            <w:r>
              <w:rPr>
                <w:b/>
                <w:bCs/>
                <w:sz w:val="20"/>
                <w:szCs w:val="20"/>
              </w:rPr>
              <w:t xml:space="preserve"> </w:t>
            </w:r>
            <w:proofErr w:type="spellStart"/>
            <w:r>
              <w:rPr>
                <w:b/>
                <w:bCs/>
                <w:sz w:val="20"/>
                <w:szCs w:val="20"/>
              </w:rPr>
              <w:t>útil</w:t>
            </w:r>
            <w:proofErr w:type="spellEnd"/>
          </w:p>
        </w:tc>
        <w:tc>
          <w:tcPr>
            <w:tcW w:w="0" w:type="auto"/>
          </w:tcPr>
          <w:p w14:paraId="57431AA7" w14:textId="77777777" w:rsidR="0003312E" w:rsidRDefault="00000000">
            <w:pPr>
              <w:pStyle w:val="NormalWeb"/>
              <w:spacing w:beforeAutospacing="0" w:after="0" w:afterAutospacing="0" w:line="240" w:lineRule="auto"/>
              <w:rPr>
                <w:sz w:val="20"/>
                <w:szCs w:val="20"/>
              </w:rPr>
            </w:pPr>
            <w:r>
              <w:rPr>
                <w:i/>
                <w:iCs/>
                <w:sz w:val="20"/>
                <w:szCs w:val="20"/>
              </w:rPr>
              <w:t>anemia</w:t>
            </w:r>
            <w:r>
              <w:rPr>
                <w:sz w:val="20"/>
                <w:szCs w:val="20"/>
              </w:rPr>
              <w:t xml:space="preserve">; </w:t>
            </w:r>
            <w:proofErr w:type="spellStart"/>
            <w:r>
              <w:rPr>
                <w:i/>
                <w:iCs/>
                <w:sz w:val="20"/>
                <w:szCs w:val="20"/>
              </w:rPr>
              <w:t>promontorium</w:t>
            </w:r>
            <w:proofErr w:type="spellEnd"/>
          </w:p>
        </w:tc>
        <w:tc>
          <w:tcPr>
            <w:tcW w:w="0" w:type="auto"/>
          </w:tcPr>
          <w:p w14:paraId="446266AA" w14:textId="77777777" w:rsidR="0003312E" w:rsidRDefault="00000000">
            <w:pPr>
              <w:pStyle w:val="NormalWeb"/>
              <w:spacing w:beforeAutospacing="0" w:after="0" w:afterAutospacing="0" w:line="240" w:lineRule="auto"/>
              <w:rPr>
                <w:sz w:val="20"/>
                <w:szCs w:val="20"/>
                <w:lang w:val="pt-BR"/>
              </w:rPr>
            </w:pPr>
            <w:r>
              <w:rPr>
                <w:sz w:val="20"/>
                <w:szCs w:val="20"/>
                <w:lang w:val="pt-BR"/>
              </w:rPr>
              <w:t>A origem etimológica oferece metáforas visuais ou conceituais.</w:t>
            </w:r>
          </w:p>
        </w:tc>
      </w:tr>
      <w:tr w:rsidR="0003312E" w14:paraId="0ACA1D31" w14:textId="77777777">
        <w:tc>
          <w:tcPr>
            <w:tcW w:w="0" w:type="auto"/>
          </w:tcPr>
          <w:p w14:paraId="16EC9389" w14:textId="77777777" w:rsidR="0003312E" w:rsidRDefault="00000000">
            <w:pPr>
              <w:pStyle w:val="NormalWeb"/>
              <w:spacing w:beforeAutospacing="0" w:after="0" w:afterAutospacing="0" w:line="240" w:lineRule="auto"/>
              <w:rPr>
                <w:b/>
                <w:bCs/>
                <w:sz w:val="20"/>
                <w:szCs w:val="20"/>
                <w:lang w:val="pt-BR"/>
              </w:rPr>
            </w:pPr>
            <w:r>
              <w:rPr>
                <w:b/>
                <w:bCs/>
                <w:sz w:val="20"/>
                <w:szCs w:val="20"/>
                <w:lang w:val="pt-BR"/>
              </w:rPr>
              <w:t>Significado moderno diverge da origem</w:t>
            </w:r>
          </w:p>
        </w:tc>
        <w:tc>
          <w:tcPr>
            <w:tcW w:w="0" w:type="auto"/>
          </w:tcPr>
          <w:p w14:paraId="0CE4AEB0" w14:textId="77777777" w:rsidR="0003312E" w:rsidRDefault="00000000">
            <w:pPr>
              <w:pStyle w:val="NormalWeb"/>
              <w:spacing w:beforeAutospacing="0" w:after="0" w:afterAutospacing="0" w:line="240" w:lineRule="auto"/>
              <w:rPr>
                <w:sz w:val="20"/>
                <w:szCs w:val="20"/>
              </w:rPr>
            </w:pPr>
            <w:proofErr w:type="spellStart"/>
            <w:r>
              <w:rPr>
                <w:i/>
                <w:iCs/>
                <w:sz w:val="20"/>
                <w:szCs w:val="20"/>
              </w:rPr>
              <w:t>artéria</w:t>
            </w:r>
            <w:proofErr w:type="spellEnd"/>
            <w:r>
              <w:rPr>
                <w:sz w:val="20"/>
                <w:szCs w:val="20"/>
              </w:rPr>
              <w:t xml:space="preserve">; </w:t>
            </w:r>
            <w:proofErr w:type="spellStart"/>
            <w:r>
              <w:rPr>
                <w:i/>
                <w:iCs/>
                <w:sz w:val="20"/>
                <w:szCs w:val="20"/>
              </w:rPr>
              <w:t>histeria</w:t>
            </w:r>
            <w:proofErr w:type="spellEnd"/>
          </w:p>
        </w:tc>
        <w:tc>
          <w:tcPr>
            <w:tcW w:w="0" w:type="auto"/>
          </w:tcPr>
          <w:p w14:paraId="3C0E4717" w14:textId="77777777" w:rsidR="0003312E" w:rsidRDefault="00000000">
            <w:pPr>
              <w:pStyle w:val="NormalWeb"/>
              <w:spacing w:beforeAutospacing="0" w:after="0" w:afterAutospacing="0" w:line="240" w:lineRule="auto"/>
              <w:rPr>
                <w:sz w:val="20"/>
                <w:szCs w:val="20"/>
                <w:lang w:val="pt-BR"/>
              </w:rPr>
            </w:pPr>
            <w:r>
              <w:rPr>
                <w:sz w:val="20"/>
                <w:szCs w:val="20"/>
                <w:lang w:val="pt-BR"/>
              </w:rPr>
              <w:t>Demonstra a evolução do conhecimento médico.</w:t>
            </w:r>
          </w:p>
        </w:tc>
      </w:tr>
      <w:tr w:rsidR="0003312E" w14:paraId="0029AA0B" w14:textId="77777777">
        <w:tc>
          <w:tcPr>
            <w:tcW w:w="0" w:type="auto"/>
          </w:tcPr>
          <w:p w14:paraId="06CEA07E" w14:textId="77777777" w:rsidR="0003312E" w:rsidRDefault="00000000">
            <w:pPr>
              <w:pStyle w:val="NormalWeb"/>
              <w:spacing w:beforeAutospacing="0" w:after="0" w:afterAutospacing="0" w:line="240" w:lineRule="auto"/>
              <w:rPr>
                <w:b/>
                <w:bCs/>
                <w:sz w:val="20"/>
                <w:szCs w:val="20"/>
                <w:lang w:val="pt-BR"/>
              </w:rPr>
            </w:pPr>
            <w:r>
              <w:rPr>
                <w:b/>
                <w:bCs/>
                <w:sz w:val="20"/>
                <w:szCs w:val="20"/>
                <w:lang w:val="pt-BR"/>
              </w:rPr>
              <w:t>Relação obscura entre etimologia e definição</w:t>
            </w:r>
          </w:p>
        </w:tc>
        <w:tc>
          <w:tcPr>
            <w:tcW w:w="0" w:type="auto"/>
          </w:tcPr>
          <w:p w14:paraId="3FEFC463" w14:textId="77777777" w:rsidR="0003312E" w:rsidRDefault="00000000">
            <w:pPr>
              <w:pStyle w:val="NormalWeb"/>
              <w:spacing w:beforeAutospacing="0" w:after="0" w:afterAutospacing="0" w:line="240" w:lineRule="auto"/>
              <w:rPr>
                <w:sz w:val="20"/>
                <w:szCs w:val="20"/>
              </w:rPr>
            </w:pPr>
            <w:proofErr w:type="spellStart"/>
            <w:r>
              <w:rPr>
                <w:i/>
                <w:iCs/>
                <w:sz w:val="20"/>
                <w:szCs w:val="20"/>
              </w:rPr>
              <w:t>chronaxia</w:t>
            </w:r>
            <w:proofErr w:type="spellEnd"/>
          </w:p>
        </w:tc>
        <w:tc>
          <w:tcPr>
            <w:tcW w:w="0" w:type="auto"/>
          </w:tcPr>
          <w:p w14:paraId="6C4DCFCC" w14:textId="77777777" w:rsidR="0003312E" w:rsidRDefault="00000000">
            <w:pPr>
              <w:pStyle w:val="NormalWeb"/>
              <w:spacing w:beforeAutospacing="0" w:after="0" w:afterAutospacing="0" w:line="240" w:lineRule="auto"/>
              <w:rPr>
                <w:sz w:val="20"/>
                <w:szCs w:val="20"/>
                <w:lang w:val="pt-BR"/>
              </w:rPr>
            </w:pPr>
            <w:r>
              <w:rPr>
                <w:sz w:val="20"/>
                <w:szCs w:val="20"/>
                <w:lang w:val="pt-BR"/>
              </w:rPr>
              <w:t>Requer abordagem contextualizada, enfatizando conceitos técnicos específicos.</w:t>
            </w:r>
          </w:p>
        </w:tc>
      </w:tr>
    </w:tbl>
    <w:p w14:paraId="596D0EE2" w14:textId="77777777" w:rsidR="0003312E" w:rsidRDefault="0003312E">
      <w:pPr>
        <w:pStyle w:val="NormalWeb"/>
        <w:spacing w:beforeAutospacing="0" w:after="0" w:afterAutospacing="0" w:line="360" w:lineRule="auto"/>
        <w:ind w:firstLine="709"/>
        <w:jc w:val="both"/>
        <w:rPr>
          <w:sz w:val="24"/>
          <w:lang w:val="pt-BR"/>
        </w:rPr>
      </w:pPr>
    </w:p>
    <w:p w14:paraId="47E0D85B" w14:textId="77777777" w:rsidR="0003312E" w:rsidRDefault="00000000">
      <w:pPr>
        <w:pStyle w:val="NormalWeb"/>
        <w:spacing w:beforeAutospacing="0" w:after="0" w:afterAutospacing="0" w:line="360" w:lineRule="auto"/>
        <w:ind w:firstLine="709"/>
        <w:jc w:val="both"/>
        <w:rPr>
          <w:sz w:val="24"/>
          <w:lang w:val="pt-BR"/>
        </w:rPr>
      </w:pPr>
      <w:r>
        <w:rPr>
          <w:sz w:val="24"/>
        </w:rPr>
        <w:lastRenderedPageBreak/>
        <w:t xml:space="preserve">Como </w:t>
      </w:r>
      <w:proofErr w:type="spellStart"/>
      <w:r>
        <w:rPr>
          <w:sz w:val="24"/>
        </w:rPr>
        <w:t>demonstram</w:t>
      </w:r>
      <w:proofErr w:type="spellEnd"/>
      <w:r>
        <w:rPr>
          <w:sz w:val="24"/>
        </w:rPr>
        <w:t xml:space="preserve"> Wulff (2004), Durkin (2015), Mehta et al. (2020), Hallock et al. </w:t>
      </w:r>
      <w:r>
        <w:rPr>
          <w:sz w:val="24"/>
          <w:lang w:val="pt-BR"/>
        </w:rPr>
        <w:t xml:space="preserve">(2016) e </w:t>
      </w:r>
      <w:proofErr w:type="spellStart"/>
      <w:r>
        <w:rPr>
          <w:sz w:val="24"/>
          <w:lang w:val="pt-BR"/>
        </w:rPr>
        <w:t>Mosenthal</w:t>
      </w:r>
      <w:proofErr w:type="spellEnd"/>
      <w:r>
        <w:rPr>
          <w:sz w:val="24"/>
          <w:lang w:val="pt-BR"/>
        </w:rPr>
        <w:t xml:space="preserve"> (2001), </w:t>
      </w:r>
      <w:proofErr w:type="gramStart"/>
      <w:r>
        <w:rPr>
          <w:sz w:val="24"/>
          <w:lang w:val="pt-BR"/>
        </w:rPr>
        <w:t>a</w:t>
      </w:r>
      <w:proofErr w:type="gramEnd"/>
      <w:r>
        <w:rPr>
          <w:sz w:val="24"/>
          <w:lang w:val="pt-BR"/>
        </w:rPr>
        <w:t xml:space="preserve"> etimologia não é apenas um ornamento cultural. É uma ferramenta pedagógica poderosa que fixa conceitos na memória, aprofunda a compreensão e conecta os estudantes à própria história da medicina. A aprendizagem torna-se mais significativa, envolvente e humanizada, resgatando a dimensão narrativa das palavras que estruturam o conhecimento médico.</w:t>
      </w:r>
    </w:p>
    <w:p w14:paraId="17D904A3" w14:textId="77777777" w:rsidR="0003312E" w:rsidRDefault="0003312E">
      <w:pPr>
        <w:pStyle w:val="NormalWeb"/>
        <w:spacing w:beforeAutospacing="0" w:after="0" w:afterAutospacing="0" w:line="360" w:lineRule="auto"/>
        <w:ind w:firstLine="709"/>
        <w:jc w:val="both"/>
        <w:rPr>
          <w:b/>
          <w:bCs/>
          <w:sz w:val="24"/>
          <w:lang w:val="pt-BR"/>
        </w:rPr>
      </w:pPr>
    </w:p>
    <w:p w14:paraId="7B939211" w14:textId="77777777" w:rsidR="0003312E" w:rsidRDefault="00000000">
      <w:pPr>
        <w:pStyle w:val="NormalWeb"/>
        <w:spacing w:beforeAutospacing="0" w:after="0" w:afterAutospacing="0" w:line="360" w:lineRule="auto"/>
        <w:ind w:firstLine="709"/>
        <w:jc w:val="both"/>
        <w:rPr>
          <w:sz w:val="24"/>
          <w:lang w:val="pt-BR"/>
        </w:rPr>
      </w:pPr>
      <w:r>
        <w:rPr>
          <w:b/>
          <w:bCs/>
          <w:sz w:val="24"/>
          <w:lang w:val="pt-BR"/>
        </w:rPr>
        <w:t>A Odisseia das Palavras Médicas: Uma Viagem de 2.500 Anos</w:t>
      </w:r>
    </w:p>
    <w:p w14:paraId="6757807F" w14:textId="77777777" w:rsidR="0003312E" w:rsidRDefault="00000000">
      <w:pPr>
        <w:pStyle w:val="NormalWeb"/>
        <w:spacing w:beforeAutospacing="0" w:after="0" w:afterAutospacing="0" w:line="360" w:lineRule="auto"/>
        <w:ind w:firstLine="709"/>
        <w:jc w:val="both"/>
        <w:rPr>
          <w:sz w:val="24"/>
          <w:lang w:val="pt-BR"/>
        </w:rPr>
      </w:pPr>
      <w:r>
        <w:rPr>
          <w:sz w:val="24"/>
          <w:lang w:val="pt-BR"/>
        </w:rPr>
        <w:t>A história da medicina pode ser contada não apenas pelos seus avanços científicos, mas também pelas palavras que resistiram ao tempo. Tudo começou em uma pequena ilha do Egeu, sob o sol do século V a.C. Em Cós, terra natal de Hipócrates, médicos registravam pela primeira vez em pergaminhos termos como </w:t>
      </w:r>
      <w:proofErr w:type="spellStart"/>
      <w:r>
        <w:rPr>
          <w:i/>
          <w:iCs/>
          <w:sz w:val="24"/>
          <w:lang w:val="pt-BR"/>
        </w:rPr>
        <w:t>catarrho</w:t>
      </w:r>
      <w:proofErr w:type="spellEnd"/>
      <w:r>
        <w:rPr>
          <w:sz w:val="24"/>
          <w:lang w:val="pt-BR"/>
        </w:rPr>
        <w:t>, </w:t>
      </w:r>
      <w:r>
        <w:rPr>
          <w:i/>
          <w:iCs/>
          <w:sz w:val="24"/>
          <w:lang w:val="pt-BR"/>
        </w:rPr>
        <w:t>diarreia</w:t>
      </w:r>
      <w:r>
        <w:rPr>
          <w:sz w:val="24"/>
          <w:lang w:val="pt-BR"/>
        </w:rPr>
        <w:t> e </w:t>
      </w:r>
      <w:r>
        <w:rPr>
          <w:i/>
          <w:iCs/>
          <w:sz w:val="24"/>
          <w:lang w:val="pt-BR"/>
        </w:rPr>
        <w:t>melancolia</w:t>
      </w:r>
      <w:r>
        <w:rPr>
          <w:sz w:val="24"/>
          <w:lang w:val="pt-BR"/>
        </w:rPr>
        <w:t>. Dois mil e quinhentos anos depois, essas mesmas palavras ainda ecoam em hospitais de Tóquio a São Paulo. Como lembra Henrik R. Wulff (2004), cada termo é mais que um rótulo: é uma testemunha de uma tradição ininterrupta que atravessou impérios, guerras e revoluções científicas.</w:t>
      </w:r>
    </w:p>
    <w:p w14:paraId="22E97EC0" w14:textId="77777777" w:rsidR="0003312E" w:rsidRDefault="00000000">
      <w:pPr>
        <w:pStyle w:val="NormalWeb"/>
        <w:spacing w:beforeAutospacing="0" w:after="0" w:afterAutospacing="0" w:line="360" w:lineRule="auto"/>
        <w:ind w:firstLine="709"/>
        <w:jc w:val="both"/>
        <w:rPr>
          <w:sz w:val="24"/>
          <w:lang w:val="pt-BR"/>
        </w:rPr>
      </w:pPr>
      <w:r>
        <w:rPr>
          <w:sz w:val="24"/>
          <w:lang w:val="pt-BR"/>
        </w:rPr>
        <w:t xml:space="preserve">Um dos primeiros e mais fundamentais desafios linguísticos surgiu no século I, quando </w:t>
      </w:r>
      <w:proofErr w:type="spellStart"/>
      <w:r>
        <w:rPr>
          <w:sz w:val="24"/>
          <w:lang w:val="pt-BR"/>
        </w:rPr>
        <w:t>Aulus</w:t>
      </w:r>
      <w:proofErr w:type="spellEnd"/>
      <w:r>
        <w:rPr>
          <w:sz w:val="24"/>
          <w:lang w:val="pt-BR"/>
        </w:rPr>
        <w:t xml:space="preserve"> Cornelius </w:t>
      </w:r>
      <w:proofErr w:type="spellStart"/>
      <w:r>
        <w:rPr>
          <w:sz w:val="24"/>
          <w:lang w:val="pt-BR"/>
        </w:rPr>
        <w:t>Celsus</w:t>
      </w:r>
      <w:proofErr w:type="spellEnd"/>
      <w:r>
        <w:rPr>
          <w:sz w:val="24"/>
          <w:lang w:val="pt-BR"/>
        </w:rPr>
        <w:t xml:space="preserve"> se viu diante de uma questão crucial: como traduzir para o latim conceitos gregos sem equivalente direto? Sua solução foi engenhosa, combinando pragmatismo e criatividade. Preservou alguns termos gregos intactos - </w:t>
      </w:r>
      <w:proofErr w:type="spellStart"/>
      <w:r>
        <w:rPr>
          <w:i/>
          <w:iCs/>
          <w:sz w:val="24"/>
          <w:lang w:val="pt-BR"/>
        </w:rPr>
        <w:t>pyloros</w:t>
      </w:r>
      <w:proofErr w:type="spellEnd"/>
      <w:r>
        <w:rPr>
          <w:sz w:val="24"/>
          <w:lang w:val="pt-BR"/>
        </w:rPr>
        <w:t> tornou-se </w:t>
      </w:r>
      <w:r>
        <w:rPr>
          <w:i/>
          <w:iCs/>
          <w:sz w:val="24"/>
          <w:lang w:val="pt-BR"/>
        </w:rPr>
        <w:t>piloro</w:t>
      </w:r>
      <w:r>
        <w:rPr>
          <w:sz w:val="24"/>
          <w:lang w:val="pt-BR"/>
        </w:rPr>
        <w:t> -, adaptou outros ao latim - </w:t>
      </w:r>
      <w:proofErr w:type="spellStart"/>
      <w:r>
        <w:rPr>
          <w:i/>
          <w:iCs/>
          <w:sz w:val="24"/>
          <w:lang w:val="pt-BR"/>
        </w:rPr>
        <w:t>stomachus</w:t>
      </w:r>
      <w:proofErr w:type="spellEnd"/>
      <w:r>
        <w:rPr>
          <w:sz w:val="24"/>
          <w:lang w:val="pt-BR"/>
        </w:rPr>
        <w:t> virou </w:t>
      </w:r>
      <w:r>
        <w:rPr>
          <w:i/>
          <w:iCs/>
          <w:sz w:val="24"/>
          <w:lang w:val="pt-BR"/>
        </w:rPr>
        <w:t>estômago</w:t>
      </w:r>
      <w:r>
        <w:rPr>
          <w:sz w:val="24"/>
          <w:lang w:val="pt-BR"/>
        </w:rPr>
        <w:t> - e até criou imagens poéticas, como ao transformar </w:t>
      </w:r>
      <w:proofErr w:type="spellStart"/>
      <w:r>
        <w:rPr>
          <w:i/>
          <w:iCs/>
          <w:sz w:val="24"/>
          <w:lang w:val="pt-BR"/>
        </w:rPr>
        <w:t>kynodontes</w:t>
      </w:r>
      <w:proofErr w:type="spellEnd"/>
      <w:r>
        <w:rPr>
          <w:sz w:val="24"/>
          <w:lang w:val="pt-BR"/>
        </w:rPr>
        <w:t> (“dentes de cão”) em </w:t>
      </w:r>
      <w:r>
        <w:rPr>
          <w:i/>
          <w:iCs/>
          <w:sz w:val="24"/>
          <w:lang w:val="pt-BR"/>
        </w:rPr>
        <w:t>dentes caninos</w:t>
      </w:r>
      <w:r>
        <w:rPr>
          <w:sz w:val="24"/>
          <w:lang w:val="pt-BR"/>
        </w:rPr>
        <w:t>. Essas escolhas não foram meras convenções técnicas; foram formas de olhar o corpo humano e de aproximar a medicina da vida cotidiana.</w:t>
      </w:r>
    </w:p>
    <w:p w14:paraId="72B053D4" w14:textId="77777777" w:rsidR="0003312E" w:rsidRDefault="0003312E">
      <w:pPr>
        <w:pStyle w:val="NormalWeb"/>
        <w:spacing w:beforeAutospacing="0" w:after="0" w:afterAutospacing="0" w:line="360" w:lineRule="auto"/>
        <w:ind w:firstLine="709"/>
        <w:jc w:val="both"/>
        <w:rPr>
          <w:b/>
          <w:bCs/>
          <w:sz w:val="24"/>
          <w:lang w:val="pt-BR"/>
        </w:rPr>
      </w:pPr>
    </w:p>
    <w:p w14:paraId="718CE22D" w14:textId="77777777" w:rsidR="0003312E" w:rsidRDefault="00000000">
      <w:pPr>
        <w:pStyle w:val="NormalWeb"/>
        <w:spacing w:beforeAutospacing="0" w:after="0" w:afterAutospacing="0" w:line="360" w:lineRule="auto"/>
        <w:ind w:firstLine="709"/>
        <w:jc w:val="both"/>
        <w:rPr>
          <w:b/>
          <w:bCs/>
          <w:sz w:val="24"/>
          <w:lang w:val="pt-BR"/>
        </w:rPr>
      </w:pPr>
      <w:r>
        <w:rPr>
          <w:b/>
          <w:bCs/>
          <w:sz w:val="24"/>
          <w:lang w:val="pt-BR"/>
        </w:rPr>
        <w:t>A Herança Latina e Grega na Medicina</w:t>
      </w:r>
    </w:p>
    <w:p w14:paraId="44CDC36C" w14:textId="77777777" w:rsidR="0003312E" w:rsidRDefault="00000000">
      <w:pPr>
        <w:pStyle w:val="NormalWeb"/>
        <w:spacing w:beforeAutospacing="0" w:after="0" w:afterAutospacing="0" w:line="360" w:lineRule="auto"/>
        <w:ind w:firstLine="709"/>
        <w:jc w:val="both"/>
        <w:rPr>
          <w:sz w:val="24"/>
          <w:lang w:val="pt-BR"/>
        </w:rPr>
      </w:pPr>
      <w:r>
        <w:rPr>
          <w:sz w:val="24"/>
          <w:lang w:val="pt-BR"/>
        </w:rPr>
        <w:t xml:space="preserve">Durante o Renascimento, o latim se consolidou como a língua universal da medicina europeia, conectando pensadores como </w:t>
      </w:r>
      <w:proofErr w:type="spellStart"/>
      <w:r>
        <w:rPr>
          <w:sz w:val="24"/>
          <w:lang w:val="pt-BR"/>
        </w:rPr>
        <w:t>Vesálio</w:t>
      </w:r>
      <w:proofErr w:type="spellEnd"/>
      <w:r>
        <w:rPr>
          <w:sz w:val="24"/>
          <w:lang w:val="pt-BR"/>
        </w:rPr>
        <w:t xml:space="preserve"> e Harvey em um mesmo idioma científico. Essa hegemonia se manteve até o século XIX, com registros médicos em latim ainda sendo feitos na Dinamarca até 1853. Com o avanço das línguas vernáculas, especialmente a partir do século XVI, o latim perdeu espaço como língua de ensino, mas permaneceu como base da terminologia médica.</w:t>
      </w:r>
    </w:p>
    <w:p w14:paraId="24CECF71" w14:textId="77777777" w:rsidR="0003312E" w:rsidRDefault="00000000">
      <w:pPr>
        <w:pStyle w:val="NormalWeb"/>
        <w:spacing w:beforeAutospacing="0" w:after="0" w:afterAutospacing="0" w:line="360" w:lineRule="auto"/>
        <w:ind w:firstLine="709"/>
        <w:jc w:val="both"/>
        <w:rPr>
          <w:sz w:val="24"/>
          <w:lang w:val="pt-BR"/>
        </w:rPr>
      </w:pPr>
      <w:r>
        <w:rPr>
          <w:sz w:val="24"/>
          <w:lang w:val="pt-BR"/>
        </w:rPr>
        <w:t xml:space="preserve">Mesmo após sua retirada das salas de aula, o latim seguiu nomeando estruturas anatômicas, doenças e medicamentos. Sua permanência se deve a várias vantagens: é neutro, não evolui, tem tradição milenar e oferece um repertório único para novos termos. Além disso, </w:t>
      </w:r>
      <w:r>
        <w:rPr>
          <w:sz w:val="24"/>
          <w:lang w:val="pt-BR"/>
        </w:rPr>
        <w:lastRenderedPageBreak/>
        <w:t xml:space="preserve">sua incompreensibilidade pode até reforçar a autoridade </w:t>
      </w:r>
      <w:proofErr w:type="gramStart"/>
      <w:r>
        <w:rPr>
          <w:sz w:val="24"/>
          <w:lang w:val="pt-BR"/>
        </w:rPr>
        <w:t>médica  -</w:t>
      </w:r>
      <w:proofErr w:type="gramEnd"/>
      <w:r>
        <w:rPr>
          <w:sz w:val="24"/>
          <w:lang w:val="pt-BR"/>
        </w:rPr>
        <w:t xml:space="preserve">  um fenômeno observado desde a Antiguidade.</w:t>
      </w:r>
    </w:p>
    <w:p w14:paraId="2CF8E749" w14:textId="77777777" w:rsidR="0003312E" w:rsidRDefault="00000000">
      <w:pPr>
        <w:pStyle w:val="NormalWeb"/>
        <w:spacing w:beforeAutospacing="0" w:after="0" w:afterAutospacing="0" w:line="360" w:lineRule="auto"/>
        <w:ind w:firstLine="709"/>
        <w:jc w:val="both"/>
        <w:rPr>
          <w:sz w:val="24"/>
          <w:lang w:val="pt-BR"/>
        </w:rPr>
      </w:pPr>
      <w:r>
        <w:rPr>
          <w:sz w:val="24"/>
          <w:lang w:val="pt-BR"/>
        </w:rPr>
        <w:t>No século XX, o inglês consolidou-se como a nova língua dominante na medicina, mas, longe de substituir o latim, assimilou-o. Termos como </w:t>
      </w:r>
      <w:proofErr w:type="spellStart"/>
      <w:r>
        <w:rPr>
          <w:i/>
          <w:iCs/>
          <w:sz w:val="24"/>
          <w:lang w:val="pt-BR"/>
        </w:rPr>
        <w:t>gastric</w:t>
      </w:r>
      <w:proofErr w:type="spellEnd"/>
      <w:r>
        <w:rPr>
          <w:i/>
          <w:iCs/>
          <w:sz w:val="24"/>
          <w:lang w:val="pt-BR"/>
        </w:rPr>
        <w:t xml:space="preserve"> </w:t>
      </w:r>
      <w:proofErr w:type="spellStart"/>
      <w:r>
        <w:rPr>
          <w:i/>
          <w:iCs/>
          <w:sz w:val="24"/>
          <w:lang w:val="pt-BR"/>
        </w:rPr>
        <w:t>ulcer</w:t>
      </w:r>
      <w:proofErr w:type="spellEnd"/>
      <w:r>
        <w:rPr>
          <w:sz w:val="24"/>
          <w:lang w:val="pt-BR"/>
        </w:rPr>
        <w:t> ou </w:t>
      </w:r>
      <w:proofErr w:type="spellStart"/>
      <w:r>
        <w:rPr>
          <w:i/>
          <w:iCs/>
          <w:sz w:val="24"/>
          <w:lang w:val="pt-BR"/>
        </w:rPr>
        <w:t>nephrectomy</w:t>
      </w:r>
      <w:proofErr w:type="spellEnd"/>
      <w:r>
        <w:rPr>
          <w:sz w:val="24"/>
          <w:lang w:val="pt-BR"/>
        </w:rPr>
        <w:t> são herdeiros diretos da tradição greco-</w:t>
      </w:r>
      <w:proofErr w:type="gramStart"/>
      <w:r>
        <w:rPr>
          <w:sz w:val="24"/>
          <w:lang w:val="pt-BR"/>
        </w:rPr>
        <w:t>latina  -</w:t>
      </w:r>
      <w:proofErr w:type="gramEnd"/>
      <w:r>
        <w:rPr>
          <w:sz w:val="24"/>
          <w:lang w:val="pt-BR"/>
        </w:rPr>
        <w:t xml:space="preserve">  por isso, dominar o inglês médico exige, paradoxalmente, familiaridade com o latim. Essa terminologia se estrutura em três pilares fundamentais:</w:t>
      </w:r>
    </w:p>
    <w:p w14:paraId="63CDAF10" w14:textId="77777777" w:rsidR="0003312E" w:rsidRDefault="00000000">
      <w:pPr>
        <w:pStyle w:val="NormalWeb"/>
        <w:spacing w:beforeAutospacing="0" w:after="0" w:afterAutospacing="0" w:line="360" w:lineRule="auto"/>
        <w:ind w:firstLine="709"/>
        <w:jc w:val="both"/>
        <w:rPr>
          <w:sz w:val="24"/>
          <w:lang w:val="pt-BR"/>
        </w:rPr>
      </w:pPr>
      <w:r>
        <w:rPr>
          <w:b/>
          <w:bCs/>
          <w:sz w:val="24"/>
          <w:lang w:val="pt-BR"/>
        </w:rPr>
        <w:t>Nomenclatura Anatômica</w:t>
      </w:r>
      <w:r>
        <w:rPr>
          <w:sz w:val="24"/>
          <w:lang w:val="pt-BR"/>
        </w:rPr>
        <w:t>: O latim reina absoluto. Todas as nomenclaturas internacionais (como a Terminologia Anatômica de 1998) mantêm o latim como padrão por sua precisão e neutralidade.</w:t>
      </w:r>
    </w:p>
    <w:p w14:paraId="64C1E6F5" w14:textId="77777777" w:rsidR="0003312E" w:rsidRDefault="00000000">
      <w:pPr>
        <w:pStyle w:val="NormalWeb"/>
        <w:spacing w:beforeAutospacing="0" w:after="0" w:afterAutospacing="0" w:line="360" w:lineRule="auto"/>
        <w:ind w:firstLine="709"/>
        <w:jc w:val="both"/>
        <w:rPr>
          <w:sz w:val="24"/>
          <w:lang w:val="pt-BR"/>
        </w:rPr>
      </w:pPr>
      <w:r>
        <w:rPr>
          <w:b/>
          <w:bCs/>
          <w:sz w:val="24"/>
          <w:lang w:val="pt-BR"/>
        </w:rPr>
        <w:t>Terminologia Clínica</w:t>
      </w:r>
      <w:r>
        <w:rPr>
          <w:sz w:val="24"/>
          <w:lang w:val="pt-BR"/>
        </w:rPr>
        <w:t xml:space="preserve">: Mais híbrida e instável, mistura termos latinos com formas vernaculizadas. Projetos como SNOMED tentam padronizar essa área, mas muitas vezes ignoram o latim. </w:t>
      </w:r>
    </w:p>
    <w:p w14:paraId="7DC61F4A" w14:textId="77777777" w:rsidR="0003312E" w:rsidRDefault="00000000">
      <w:pPr>
        <w:pStyle w:val="NormalWeb"/>
        <w:spacing w:beforeAutospacing="0" w:after="0" w:afterAutospacing="0" w:line="360" w:lineRule="auto"/>
        <w:ind w:firstLine="709"/>
        <w:jc w:val="both"/>
        <w:rPr>
          <w:sz w:val="24"/>
          <w:lang w:val="pt-BR"/>
        </w:rPr>
      </w:pPr>
      <w:r>
        <w:rPr>
          <w:b/>
          <w:bCs/>
          <w:sz w:val="24"/>
          <w:lang w:val="pt-BR"/>
        </w:rPr>
        <w:t>Prescrições Médicas</w:t>
      </w:r>
      <w:r>
        <w:rPr>
          <w:sz w:val="24"/>
          <w:lang w:val="pt-BR"/>
        </w:rPr>
        <w:t>: A estrutura das receitas permanece essencialmente latina, mesmo com a adoção de nomenclaturas internacionais como os INN (</w:t>
      </w:r>
      <w:proofErr w:type="spellStart"/>
      <w:r>
        <w:rPr>
          <w:sz w:val="24"/>
          <w:lang w:val="pt-BR"/>
        </w:rPr>
        <w:t>International</w:t>
      </w:r>
      <w:proofErr w:type="spellEnd"/>
      <w:r>
        <w:rPr>
          <w:sz w:val="24"/>
          <w:lang w:val="pt-BR"/>
        </w:rPr>
        <w:t xml:space="preserve"> </w:t>
      </w:r>
      <w:proofErr w:type="spellStart"/>
      <w:r>
        <w:rPr>
          <w:sz w:val="24"/>
          <w:lang w:val="pt-BR"/>
        </w:rPr>
        <w:t>Nonproprietary</w:t>
      </w:r>
      <w:proofErr w:type="spellEnd"/>
      <w:r>
        <w:rPr>
          <w:sz w:val="24"/>
          <w:lang w:val="pt-BR"/>
        </w:rPr>
        <w:t xml:space="preserve"> </w:t>
      </w:r>
      <w:proofErr w:type="spellStart"/>
      <w:r>
        <w:rPr>
          <w:sz w:val="24"/>
          <w:lang w:val="pt-BR"/>
        </w:rPr>
        <w:t>Name</w:t>
      </w:r>
      <w:proofErr w:type="spellEnd"/>
      <w:r>
        <w:rPr>
          <w:sz w:val="24"/>
          <w:lang w:val="pt-BR"/>
        </w:rPr>
        <w:t xml:space="preserve"> ou DCI - Denominação Comum Internacional). Expressões clássicas como </w:t>
      </w:r>
      <w:proofErr w:type="spellStart"/>
      <w:r>
        <w:rPr>
          <w:i/>
          <w:iCs/>
          <w:sz w:val="24"/>
          <w:lang w:val="pt-BR"/>
        </w:rPr>
        <w:t>facies</w:t>
      </w:r>
      <w:proofErr w:type="spellEnd"/>
      <w:r>
        <w:rPr>
          <w:i/>
          <w:iCs/>
          <w:sz w:val="24"/>
          <w:lang w:val="pt-BR"/>
        </w:rPr>
        <w:t xml:space="preserve"> </w:t>
      </w:r>
      <w:proofErr w:type="spellStart"/>
      <w:r>
        <w:rPr>
          <w:i/>
          <w:iCs/>
          <w:sz w:val="24"/>
          <w:lang w:val="pt-BR"/>
        </w:rPr>
        <w:t>Hippocratica</w:t>
      </w:r>
      <w:proofErr w:type="spellEnd"/>
      <w:r>
        <w:rPr>
          <w:sz w:val="24"/>
          <w:lang w:val="pt-BR"/>
        </w:rPr>
        <w:t xml:space="preserve"> e </w:t>
      </w:r>
      <w:proofErr w:type="spellStart"/>
      <w:r>
        <w:rPr>
          <w:i/>
          <w:iCs/>
          <w:sz w:val="24"/>
          <w:lang w:val="pt-BR"/>
        </w:rPr>
        <w:t>experimentum</w:t>
      </w:r>
      <w:proofErr w:type="spellEnd"/>
      <w:r>
        <w:rPr>
          <w:i/>
          <w:iCs/>
          <w:sz w:val="24"/>
          <w:lang w:val="pt-BR"/>
        </w:rPr>
        <w:t xml:space="preserve"> </w:t>
      </w:r>
      <w:proofErr w:type="spellStart"/>
      <w:r>
        <w:rPr>
          <w:i/>
          <w:iCs/>
          <w:sz w:val="24"/>
          <w:lang w:val="pt-BR"/>
        </w:rPr>
        <w:t>crucis</w:t>
      </w:r>
      <w:proofErr w:type="spellEnd"/>
      <w:r>
        <w:rPr>
          <w:sz w:val="24"/>
          <w:lang w:val="pt-BR"/>
        </w:rPr>
        <w:t xml:space="preserve"> seguem vivas na prática médica.</w:t>
      </w:r>
    </w:p>
    <w:p w14:paraId="34AB555E" w14:textId="77777777" w:rsidR="0003312E" w:rsidRDefault="00000000">
      <w:pPr>
        <w:pStyle w:val="NormalWeb"/>
        <w:spacing w:beforeAutospacing="0" w:after="0" w:afterAutospacing="0" w:line="360" w:lineRule="auto"/>
        <w:ind w:firstLine="709"/>
        <w:jc w:val="both"/>
        <w:rPr>
          <w:sz w:val="24"/>
          <w:lang w:val="pt-BR"/>
        </w:rPr>
      </w:pPr>
      <w:r>
        <w:rPr>
          <w:sz w:val="24"/>
          <w:lang w:val="pt-BR"/>
        </w:rPr>
        <w:t xml:space="preserve">O latim reina soberano na nomenclatura anatômica oficial, enquanto o grego predomina como base para os </w:t>
      </w:r>
      <w:proofErr w:type="gramStart"/>
      <w:r>
        <w:rPr>
          <w:sz w:val="24"/>
          <w:lang w:val="pt-BR"/>
        </w:rPr>
        <w:t>neologismos  -</w:t>
      </w:r>
      <w:proofErr w:type="gramEnd"/>
      <w:r>
        <w:rPr>
          <w:sz w:val="24"/>
          <w:lang w:val="pt-BR"/>
        </w:rPr>
        <w:t xml:space="preserve">  especialmente para novos procedimentos ou doenças (Papoulas e </w:t>
      </w:r>
      <w:proofErr w:type="spellStart"/>
      <w:r>
        <w:rPr>
          <w:sz w:val="24"/>
          <w:lang w:val="pt-BR"/>
        </w:rPr>
        <w:t>Douvetzemis</w:t>
      </w:r>
      <w:proofErr w:type="spellEnd"/>
      <w:r>
        <w:rPr>
          <w:sz w:val="24"/>
          <w:lang w:val="pt-BR"/>
        </w:rPr>
        <w:t>, 2015).</w:t>
      </w:r>
    </w:p>
    <w:p w14:paraId="2BF6B7D0" w14:textId="77777777" w:rsidR="0003312E" w:rsidRDefault="00000000">
      <w:pPr>
        <w:pStyle w:val="NormalWeb"/>
        <w:spacing w:beforeAutospacing="0" w:after="0" w:afterAutospacing="0" w:line="360" w:lineRule="auto"/>
        <w:ind w:firstLine="709"/>
        <w:jc w:val="both"/>
        <w:rPr>
          <w:sz w:val="24"/>
          <w:lang w:val="pt-BR"/>
        </w:rPr>
      </w:pPr>
      <w:r>
        <w:rPr>
          <w:sz w:val="24"/>
          <w:lang w:val="pt-BR"/>
        </w:rPr>
        <w:t>A convivência entre latim e inglês gerou fenômenos como o “</w:t>
      </w:r>
      <w:proofErr w:type="spellStart"/>
      <w:r>
        <w:rPr>
          <w:sz w:val="24"/>
          <w:lang w:val="pt-BR"/>
        </w:rPr>
        <w:t>Englatin</w:t>
      </w:r>
      <w:proofErr w:type="spellEnd"/>
      <w:r>
        <w:rPr>
          <w:sz w:val="24"/>
          <w:lang w:val="pt-BR"/>
        </w:rPr>
        <w:t xml:space="preserve">”, um híbrido linguístico que reflete a tensão entre tradição e modernidade. Como observam Papoulas e </w:t>
      </w:r>
      <w:proofErr w:type="spellStart"/>
      <w:r>
        <w:rPr>
          <w:sz w:val="24"/>
          <w:lang w:val="pt-BR"/>
        </w:rPr>
        <w:t>Douvetzemis</w:t>
      </w:r>
      <w:proofErr w:type="spellEnd"/>
      <w:r>
        <w:rPr>
          <w:sz w:val="24"/>
          <w:lang w:val="pt-BR"/>
        </w:rPr>
        <w:t xml:space="preserve"> (2015), o inglês não apenas adicionou uma nova camada à terminologia médica, mas também está reescrevendo-</w:t>
      </w:r>
      <w:proofErr w:type="gramStart"/>
      <w:r>
        <w:rPr>
          <w:sz w:val="24"/>
          <w:lang w:val="pt-BR"/>
        </w:rPr>
        <w:t>a  -</w:t>
      </w:r>
      <w:proofErr w:type="gramEnd"/>
      <w:r>
        <w:rPr>
          <w:sz w:val="24"/>
          <w:lang w:val="pt-BR"/>
        </w:rPr>
        <w:t xml:space="preserve">  em diálogo constante com o legado greco-latino.</w:t>
      </w:r>
    </w:p>
    <w:p w14:paraId="32F67709" w14:textId="77777777" w:rsidR="0003312E" w:rsidRDefault="00000000">
      <w:pPr>
        <w:pStyle w:val="NormalWeb"/>
        <w:spacing w:beforeAutospacing="0" w:after="0" w:afterAutospacing="0" w:line="360" w:lineRule="auto"/>
        <w:ind w:firstLine="709"/>
        <w:jc w:val="both"/>
        <w:rPr>
          <w:sz w:val="24"/>
          <w:lang w:val="pt-BR"/>
        </w:rPr>
      </w:pPr>
      <w:r>
        <w:rPr>
          <w:sz w:val="24"/>
          <w:lang w:val="pt-BR"/>
        </w:rPr>
        <w:t xml:space="preserve">A influência da mitologia grega também é profunda: deuses e heróis antigos inspiraram termos como </w:t>
      </w:r>
      <w:r>
        <w:rPr>
          <w:i/>
          <w:iCs/>
          <w:sz w:val="24"/>
          <w:lang w:val="pt-BR"/>
        </w:rPr>
        <w:t>psiquiatria</w:t>
      </w:r>
      <w:r>
        <w:rPr>
          <w:sz w:val="24"/>
          <w:lang w:val="pt-BR"/>
        </w:rPr>
        <w:t xml:space="preserve"> (</w:t>
      </w:r>
      <w:proofErr w:type="spellStart"/>
      <w:r>
        <w:rPr>
          <w:sz w:val="24"/>
          <w:lang w:val="pt-BR"/>
        </w:rPr>
        <w:t>Psyche</w:t>
      </w:r>
      <w:proofErr w:type="spellEnd"/>
      <w:r>
        <w:rPr>
          <w:sz w:val="24"/>
          <w:lang w:val="pt-BR"/>
        </w:rPr>
        <w:t xml:space="preserve">), </w:t>
      </w:r>
      <w:r>
        <w:rPr>
          <w:i/>
          <w:iCs/>
          <w:sz w:val="24"/>
          <w:lang w:val="pt-BR"/>
        </w:rPr>
        <w:t>fobia</w:t>
      </w:r>
      <w:r>
        <w:rPr>
          <w:sz w:val="24"/>
          <w:lang w:val="pt-BR"/>
        </w:rPr>
        <w:t xml:space="preserve"> (Phobos), </w:t>
      </w:r>
      <w:r>
        <w:rPr>
          <w:i/>
          <w:iCs/>
          <w:sz w:val="24"/>
          <w:lang w:val="pt-BR"/>
        </w:rPr>
        <w:t>narcisismo</w:t>
      </w:r>
      <w:r>
        <w:rPr>
          <w:sz w:val="24"/>
          <w:lang w:val="pt-BR"/>
        </w:rPr>
        <w:t xml:space="preserve"> (Narciso), </w:t>
      </w:r>
      <w:r>
        <w:rPr>
          <w:i/>
          <w:iCs/>
          <w:sz w:val="24"/>
          <w:lang w:val="pt-BR"/>
        </w:rPr>
        <w:t>amnésia</w:t>
      </w:r>
      <w:r>
        <w:rPr>
          <w:sz w:val="24"/>
          <w:lang w:val="pt-BR"/>
        </w:rPr>
        <w:t xml:space="preserve"> (</w:t>
      </w:r>
      <w:proofErr w:type="spellStart"/>
      <w:r>
        <w:rPr>
          <w:sz w:val="24"/>
          <w:lang w:val="pt-BR"/>
        </w:rPr>
        <w:t>Mnemosyne</w:t>
      </w:r>
      <w:proofErr w:type="spellEnd"/>
      <w:r>
        <w:rPr>
          <w:sz w:val="24"/>
          <w:lang w:val="pt-BR"/>
        </w:rPr>
        <w:t xml:space="preserve">) e </w:t>
      </w:r>
      <w:r>
        <w:rPr>
          <w:i/>
          <w:iCs/>
          <w:sz w:val="24"/>
          <w:lang w:val="pt-BR"/>
        </w:rPr>
        <w:t>letargia</w:t>
      </w:r>
      <w:r>
        <w:rPr>
          <w:sz w:val="24"/>
          <w:lang w:val="pt-BR"/>
        </w:rPr>
        <w:t xml:space="preserve"> (</w:t>
      </w:r>
      <w:proofErr w:type="spellStart"/>
      <w:r>
        <w:rPr>
          <w:sz w:val="24"/>
          <w:lang w:val="pt-BR"/>
        </w:rPr>
        <w:t>Lethe</w:t>
      </w:r>
      <w:proofErr w:type="spellEnd"/>
      <w:r>
        <w:rPr>
          <w:sz w:val="24"/>
          <w:lang w:val="pt-BR"/>
        </w:rPr>
        <w:t xml:space="preserve">). Esses nomes não são apenas curiosidades </w:t>
      </w:r>
      <w:proofErr w:type="gramStart"/>
      <w:r>
        <w:rPr>
          <w:sz w:val="24"/>
          <w:lang w:val="pt-BR"/>
        </w:rPr>
        <w:t>etimológicas  -</w:t>
      </w:r>
      <w:proofErr w:type="gramEnd"/>
      <w:r>
        <w:rPr>
          <w:sz w:val="24"/>
          <w:lang w:val="pt-BR"/>
        </w:rPr>
        <w:t xml:space="preserve">  são pontes entre ciência e cultura, entre anatomia e poesia.</w:t>
      </w:r>
    </w:p>
    <w:p w14:paraId="34417142" w14:textId="77777777" w:rsidR="0003312E" w:rsidRDefault="0003312E">
      <w:pPr>
        <w:pStyle w:val="NormalWeb"/>
        <w:spacing w:beforeAutospacing="0" w:after="0" w:afterAutospacing="0" w:line="360" w:lineRule="auto"/>
        <w:ind w:firstLine="709"/>
        <w:jc w:val="both"/>
        <w:rPr>
          <w:b/>
          <w:bCs/>
          <w:sz w:val="24"/>
          <w:lang w:val="pt-BR"/>
        </w:rPr>
      </w:pPr>
    </w:p>
    <w:p w14:paraId="4DA2B469" w14:textId="77777777" w:rsidR="0003312E" w:rsidRDefault="00000000">
      <w:pPr>
        <w:pStyle w:val="NormalWeb"/>
        <w:spacing w:beforeAutospacing="0" w:after="0" w:afterAutospacing="0" w:line="360" w:lineRule="auto"/>
        <w:ind w:firstLine="709"/>
        <w:jc w:val="both"/>
        <w:rPr>
          <w:sz w:val="24"/>
          <w:lang w:val="pt-BR"/>
        </w:rPr>
      </w:pPr>
      <w:r>
        <w:rPr>
          <w:b/>
          <w:bCs/>
          <w:sz w:val="24"/>
          <w:lang w:val="pt-BR"/>
        </w:rPr>
        <w:t xml:space="preserve">O Método </w:t>
      </w:r>
      <w:proofErr w:type="spellStart"/>
      <w:r>
        <w:rPr>
          <w:b/>
          <w:bCs/>
          <w:sz w:val="24"/>
          <w:lang w:val="pt-BR"/>
        </w:rPr>
        <w:t>Neuroetimológico</w:t>
      </w:r>
      <w:proofErr w:type="spellEnd"/>
      <w:r>
        <w:rPr>
          <w:b/>
          <w:bCs/>
          <w:sz w:val="24"/>
          <w:lang w:val="pt-BR"/>
        </w:rPr>
        <w:t>: Quatro Dimensões de Análise</w:t>
      </w:r>
    </w:p>
    <w:p w14:paraId="75F00C43" w14:textId="77777777" w:rsidR="0003312E" w:rsidRDefault="00000000">
      <w:pPr>
        <w:pStyle w:val="NormalWeb"/>
        <w:spacing w:beforeAutospacing="0" w:after="0" w:afterAutospacing="0" w:line="360" w:lineRule="auto"/>
        <w:ind w:firstLine="709"/>
        <w:jc w:val="both"/>
        <w:rPr>
          <w:sz w:val="24"/>
          <w:lang w:val="pt-BR"/>
        </w:rPr>
      </w:pPr>
      <w:r>
        <w:rPr>
          <w:sz w:val="24"/>
          <w:lang w:val="pt-BR"/>
        </w:rPr>
        <w:t>Cada capítulo deste livro explorará uma palavra ou conceito a partir de quatro perspectivas interconectadas, que se complementam para revelar suas camadas mais profundas:</w:t>
      </w:r>
    </w:p>
    <w:p w14:paraId="15136AAB" w14:textId="77777777" w:rsidR="0003312E" w:rsidRDefault="00000000">
      <w:pPr>
        <w:pStyle w:val="NormalWeb"/>
        <w:numPr>
          <w:ilvl w:val="0"/>
          <w:numId w:val="2"/>
        </w:numPr>
        <w:spacing w:beforeAutospacing="0" w:after="0" w:afterAutospacing="0" w:line="360" w:lineRule="auto"/>
        <w:ind w:left="0" w:firstLine="709"/>
        <w:jc w:val="both"/>
        <w:rPr>
          <w:sz w:val="24"/>
          <w:lang w:val="pt-BR"/>
        </w:rPr>
      </w:pPr>
      <w:r>
        <w:rPr>
          <w:b/>
          <w:bCs/>
          <w:sz w:val="24"/>
          <w:lang w:val="pt-BR"/>
        </w:rPr>
        <w:lastRenderedPageBreak/>
        <w:t>Gênese e Jornada Histórica:</w:t>
      </w:r>
      <w:r>
        <w:rPr>
          <w:sz w:val="24"/>
          <w:lang w:val="pt-BR"/>
        </w:rPr>
        <w:t xml:space="preserve"> Investigação das raízes linguísticas, significados originais, deslocamentos conceptuais e metáforas arquetípicas. Fontes principais: Cunha (2010); </w:t>
      </w:r>
      <w:r>
        <w:rPr>
          <w:rFonts w:eastAsia="Segoe UI"/>
          <w:sz w:val="20"/>
          <w:szCs w:val="20"/>
          <w:shd w:val="clear" w:color="auto" w:fill="FFFFFF"/>
          <w:lang w:val="pt-BR"/>
        </w:rPr>
        <w:t xml:space="preserve">DECEL; </w:t>
      </w:r>
      <w:r>
        <w:rPr>
          <w:sz w:val="24"/>
          <w:lang w:val="pt-BR"/>
        </w:rPr>
        <w:t xml:space="preserve">Harper (2001 - 2024); </w:t>
      </w:r>
      <w:r>
        <w:rPr>
          <w:rStyle w:val="Forte"/>
          <w:rFonts w:eastAsia="Segoe UI"/>
          <w:b w:val="0"/>
          <w:bCs w:val="0"/>
          <w:sz w:val="24"/>
          <w:shd w:val="clear" w:color="auto" w:fill="FFFFFF"/>
          <w:lang w:val="pt-BR"/>
        </w:rPr>
        <w:t>Lewis e; Short (</w:t>
      </w:r>
      <w:r>
        <w:rPr>
          <w:rFonts w:eastAsia="Segoe UI"/>
          <w:sz w:val="24"/>
          <w:shd w:val="clear" w:color="auto" w:fill="FFFFFF"/>
          <w:lang w:val="pt-BR"/>
        </w:rPr>
        <w:t>1879</w:t>
      </w:r>
      <w:r>
        <w:rPr>
          <w:rStyle w:val="Forte"/>
          <w:rFonts w:eastAsia="Segoe UI"/>
          <w:b w:val="0"/>
          <w:bCs w:val="0"/>
          <w:sz w:val="24"/>
          <w:shd w:val="clear" w:color="auto" w:fill="FFFFFF"/>
          <w:lang w:val="pt-BR"/>
        </w:rPr>
        <w:t>)</w:t>
      </w:r>
      <w:proofErr w:type="gramStart"/>
      <w:r>
        <w:rPr>
          <w:rStyle w:val="Forte"/>
          <w:rFonts w:eastAsia="Segoe UI"/>
          <w:b w:val="0"/>
          <w:bCs w:val="0"/>
          <w:sz w:val="24"/>
          <w:shd w:val="clear" w:color="auto" w:fill="FFFFFF"/>
          <w:lang w:val="pt-BR"/>
        </w:rPr>
        <w:t>; .</w:t>
      </w:r>
      <w:r>
        <w:rPr>
          <w:sz w:val="24"/>
          <w:lang w:val="pt-BR"/>
        </w:rPr>
        <w:t>RAE</w:t>
      </w:r>
      <w:proofErr w:type="gramEnd"/>
      <w:r>
        <w:rPr>
          <w:sz w:val="24"/>
          <w:lang w:val="pt-BR"/>
        </w:rPr>
        <w:t xml:space="preserve"> (2014); CNRTL (2012).</w:t>
      </w:r>
    </w:p>
    <w:p w14:paraId="24EFCD35" w14:textId="77777777" w:rsidR="0003312E" w:rsidRDefault="00000000">
      <w:pPr>
        <w:pStyle w:val="NormalWeb"/>
        <w:numPr>
          <w:ilvl w:val="0"/>
          <w:numId w:val="2"/>
        </w:numPr>
        <w:spacing w:beforeAutospacing="0" w:after="0" w:afterAutospacing="0" w:line="360" w:lineRule="auto"/>
        <w:ind w:left="0" w:firstLine="709"/>
        <w:jc w:val="both"/>
        <w:rPr>
          <w:sz w:val="24"/>
          <w:lang w:val="pt-BR"/>
        </w:rPr>
      </w:pPr>
      <w:r>
        <w:rPr>
          <w:b/>
          <w:bCs/>
          <w:sz w:val="24"/>
          <w:lang w:val="pt-BR"/>
        </w:rPr>
        <w:t>Dimensão Histórico-Clínica:</w:t>
      </w:r>
      <w:r>
        <w:rPr>
          <w:sz w:val="24"/>
          <w:lang w:val="pt-BR"/>
        </w:rPr>
        <w:t xml:space="preserve"> Análise de como o termo foi empregado na medicina e na psiquiatria, desde suas primeiras aparições até seu uso </w:t>
      </w:r>
      <w:proofErr w:type="gramStart"/>
      <w:r>
        <w:rPr>
          <w:sz w:val="24"/>
          <w:lang w:val="pt-BR"/>
        </w:rPr>
        <w:t>contemporâneo  -</w:t>
      </w:r>
      <w:proofErr w:type="gramEnd"/>
      <w:r>
        <w:rPr>
          <w:sz w:val="24"/>
          <w:lang w:val="pt-BR"/>
        </w:rPr>
        <w:t xml:space="preserve">  incluindo controvérsias, equívocos e redefinições.</w:t>
      </w:r>
    </w:p>
    <w:p w14:paraId="1EA02EBE" w14:textId="77777777" w:rsidR="0003312E" w:rsidRDefault="00000000">
      <w:pPr>
        <w:pStyle w:val="NormalWeb"/>
        <w:numPr>
          <w:ilvl w:val="0"/>
          <w:numId w:val="2"/>
        </w:numPr>
        <w:spacing w:beforeAutospacing="0" w:after="0" w:afterAutospacing="0" w:line="360" w:lineRule="auto"/>
        <w:ind w:left="0" w:firstLine="709"/>
        <w:jc w:val="both"/>
        <w:rPr>
          <w:sz w:val="24"/>
          <w:lang w:val="pt-BR"/>
        </w:rPr>
      </w:pPr>
      <w:r>
        <w:rPr>
          <w:b/>
          <w:bCs/>
          <w:sz w:val="24"/>
          <w:lang w:val="pt-BR"/>
        </w:rPr>
        <w:t>Dimensão Neurocientífica:</w:t>
      </w:r>
      <w:r>
        <w:rPr>
          <w:sz w:val="24"/>
          <w:lang w:val="pt-BR"/>
        </w:rPr>
        <w:t> Exame das redes neurais, mecanismos cerebrais e funções cognitivas associados ao fenômeno que a palavra nomeia.</w:t>
      </w:r>
    </w:p>
    <w:p w14:paraId="022DE341" w14:textId="77777777" w:rsidR="0003312E" w:rsidRDefault="00000000">
      <w:pPr>
        <w:pStyle w:val="NormalWeb"/>
        <w:numPr>
          <w:ilvl w:val="0"/>
          <w:numId w:val="2"/>
        </w:numPr>
        <w:spacing w:beforeAutospacing="0" w:after="0" w:afterAutospacing="0" w:line="360" w:lineRule="auto"/>
        <w:ind w:left="0" w:firstLine="709"/>
        <w:jc w:val="both"/>
        <w:rPr>
          <w:sz w:val="24"/>
          <w:lang w:val="pt-BR"/>
        </w:rPr>
      </w:pPr>
      <w:r>
        <w:rPr>
          <w:b/>
          <w:bCs/>
          <w:sz w:val="24"/>
          <w:lang w:val="pt-BR"/>
        </w:rPr>
        <w:t>Dimensão Poético-Filosófica:</w:t>
      </w:r>
      <w:r>
        <w:rPr>
          <w:sz w:val="24"/>
          <w:lang w:val="pt-BR"/>
        </w:rPr>
        <w:t> Exploração dos sentidos sensíveis, simbólicos e culturais que a palavra evoca: suas ressonâncias literárias, mitológicas e existenciais.</w:t>
      </w:r>
    </w:p>
    <w:p w14:paraId="3573D8E1" w14:textId="77777777" w:rsidR="0003312E" w:rsidRDefault="00000000">
      <w:pPr>
        <w:pStyle w:val="NormalWeb"/>
        <w:spacing w:beforeAutospacing="0" w:after="0" w:afterAutospacing="0" w:line="360" w:lineRule="auto"/>
        <w:ind w:firstLine="709"/>
        <w:jc w:val="both"/>
        <w:rPr>
          <w:sz w:val="24"/>
          <w:lang w:val="pt-BR"/>
        </w:rPr>
      </w:pPr>
      <w:r>
        <w:rPr>
          <w:sz w:val="24"/>
          <w:lang w:val="pt-BR"/>
        </w:rPr>
        <w:t>Em essência, estas quatro dimensões entrelaçam ciência, história e arte. O objetivo final é iluminar não apenas o significado de uma palavra, mas revelar como ela ativamente molda e é moldada pela nossa compreensão da mente, do corpo e da complexa experiência de estar no mundo.</w:t>
      </w:r>
    </w:p>
    <w:p w14:paraId="38540649" w14:textId="77777777" w:rsidR="0003312E" w:rsidRDefault="0003312E">
      <w:pPr>
        <w:pStyle w:val="NormalWeb"/>
        <w:spacing w:beforeAutospacing="0" w:after="0" w:afterAutospacing="0" w:line="360" w:lineRule="auto"/>
        <w:ind w:firstLine="709"/>
        <w:jc w:val="both"/>
        <w:rPr>
          <w:b/>
          <w:bCs/>
          <w:sz w:val="24"/>
          <w:lang w:val="pt-BR"/>
        </w:rPr>
      </w:pPr>
    </w:p>
    <w:p w14:paraId="0A81E122" w14:textId="77777777" w:rsidR="0003312E" w:rsidRDefault="00000000">
      <w:pPr>
        <w:pStyle w:val="NormalWeb"/>
        <w:spacing w:beforeAutospacing="0" w:after="0" w:afterAutospacing="0" w:line="360" w:lineRule="auto"/>
        <w:ind w:firstLine="709"/>
        <w:jc w:val="both"/>
        <w:rPr>
          <w:sz w:val="24"/>
          <w:lang w:val="pt-BR"/>
        </w:rPr>
      </w:pPr>
      <w:r>
        <w:rPr>
          <w:b/>
          <w:bCs/>
          <w:sz w:val="24"/>
          <w:lang w:val="pt-BR"/>
        </w:rPr>
        <w:t>Uma Jornada Ilustrativa: O Caso da Histeria</w:t>
      </w:r>
    </w:p>
    <w:p w14:paraId="33A69B30" w14:textId="77777777" w:rsidR="0003312E" w:rsidRDefault="00000000">
      <w:pPr>
        <w:pStyle w:val="NormalWeb"/>
        <w:spacing w:beforeAutospacing="0" w:after="0" w:afterAutospacing="0" w:line="360" w:lineRule="auto"/>
        <w:ind w:firstLine="709"/>
        <w:jc w:val="both"/>
        <w:rPr>
          <w:sz w:val="24"/>
          <w:lang w:val="pt-BR"/>
        </w:rPr>
      </w:pPr>
      <w:r>
        <w:rPr>
          <w:sz w:val="24"/>
          <w:lang w:val="pt-BR"/>
        </w:rPr>
        <w:t>Para ilustrar essa abordagem multidimensional, que integra a jornada histórica às suas dimensões clínica e cultural, acompanhemos a trajetória da palavra histeria. Do grego </w:t>
      </w:r>
      <w:proofErr w:type="spellStart"/>
      <w:r>
        <w:rPr>
          <w:i/>
          <w:iCs/>
          <w:sz w:val="24"/>
          <w:lang w:val="pt-BR"/>
        </w:rPr>
        <w:t>hystéra</w:t>
      </w:r>
      <w:proofErr w:type="spellEnd"/>
      <w:r>
        <w:rPr>
          <w:sz w:val="24"/>
          <w:lang w:val="pt-BR"/>
        </w:rPr>
        <w:t> ("útero"), o termo nasceu da crença hipocrática de que um "útero errante" percorreria o corpo feminino, causando sintomas de ansiedade e desconforto. Esta concepção anatômica equivocada - porém poeticamente poderosa - moldou por séculos o diagnóstico e tratamento de condições psiquiátricas, culminando até no termo cirúrgico </w:t>
      </w:r>
      <w:r>
        <w:rPr>
          <w:i/>
          <w:iCs/>
          <w:sz w:val="24"/>
          <w:lang w:val="pt-BR"/>
        </w:rPr>
        <w:t>histerectomia</w:t>
      </w:r>
      <w:r>
        <w:rPr>
          <w:sz w:val="24"/>
          <w:lang w:val="pt-BR"/>
        </w:rPr>
        <w:t xml:space="preserve">. A representação visual do útero como uma entidade migratória não é apenas uma curiosidade histórica. É um testemunho eloquente de como metáforas anatômicas podem cristalizar-se em práticas médicas concretas. A </w:t>
      </w:r>
      <w:proofErr w:type="spellStart"/>
      <w:r>
        <w:rPr>
          <w:sz w:val="24"/>
          <w:lang w:val="pt-BR"/>
        </w:rPr>
        <w:t>neuroetimologia</w:t>
      </w:r>
      <w:proofErr w:type="spellEnd"/>
      <w:r>
        <w:rPr>
          <w:sz w:val="24"/>
          <w:lang w:val="pt-BR"/>
        </w:rPr>
        <w:t xml:space="preserve"> desvenda como essa palavra carrega em si não apenas um conceito médico, mas toda uma visão de mundo sobre gênero, corpo e mente.</w:t>
      </w:r>
    </w:p>
    <w:p w14:paraId="199C3F01" w14:textId="77777777" w:rsidR="0003312E" w:rsidRDefault="0003312E">
      <w:pPr>
        <w:pStyle w:val="NormalWeb"/>
        <w:spacing w:beforeAutospacing="0" w:after="0" w:afterAutospacing="0" w:line="360" w:lineRule="auto"/>
        <w:ind w:firstLine="709"/>
        <w:jc w:val="both"/>
        <w:rPr>
          <w:b/>
          <w:bCs/>
          <w:sz w:val="24"/>
          <w:lang w:val="pt-BR"/>
        </w:rPr>
      </w:pPr>
    </w:p>
    <w:p w14:paraId="1A29D68B" w14:textId="77777777" w:rsidR="0003312E" w:rsidRDefault="00000000">
      <w:pPr>
        <w:pStyle w:val="NormalWeb"/>
        <w:spacing w:beforeAutospacing="0" w:after="0" w:afterAutospacing="0" w:line="360" w:lineRule="auto"/>
        <w:ind w:firstLine="709"/>
        <w:jc w:val="both"/>
        <w:rPr>
          <w:sz w:val="24"/>
          <w:lang w:val="pt-BR"/>
        </w:rPr>
      </w:pPr>
      <w:r>
        <w:rPr>
          <w:b/>
          <w:bCs/>
          <w:sz w:val="24"/>
          <w:lang w:val="pt-BR"/>
        </w:rPr>
        <w:t>Corpus da Obra: Dez Palavras, Dez Limiares</w:t>
      </w:r>
    </w:p>
    <w:p w14:paraId="5218496B" w14:textId="77777777" w:rsidR="0003312E" w:rsidRDefault="00000000">
      <w:pPr>
        <w:pStyle w:val="NormalWeb"/>
        <w:spacing w:beforeAutospacing="0" w:after="0" w:afterAutospacing="0" w:line="360" w:lineRule="auto"/>
        <w:ind w:firstLine="709"/>
        <w:jc w:val="both"/>
        <w:rPr>
          <w:sz w:val="24"/>
          <w:lang w:val="pt-BR"/>
        </w:rPr>
      </w:pPr>
      <w:r>
        <w:rPr>
          <w:sz w:val="24"/>
          <w:lang w:val="pt-BR"/>
        </w:rPr>
        <w:t xml:space="preserve">Este livro não pretende ser um tratado de psicologia. É antes uma cartografia de abismos, delineada por dez palavras que funcionam como </w:t>
      </w:r>
      <w:proofErr w:type="gramStart"/>
      <w:r>
        <w:rPr>
          <w:sz w:val="24"/>
          <w:lang w:val="pt-BR"/>
        </w:rPr>
        <w:t>portais  -</w:t>
      </w:r>
      <w:proofErr w:type="gramEnd"/>
      <w:r>
        <w:rPr>
          <w:sz w:val="24"/>
          <w:lang w:val="pt-BR"/>
        </w:rPr>
        <w:t xml:space="preserve">  não categorias clínicas rígidas, mas narrativas culturais pulsantes que atravessam séculos de pensamento, ciência e arte.</w:t>
      </w:r>
    </w:p>
    <w:p w14:paraId="08C56D2F" w14:textId="77777777" w:rsidR="0003312E" w:rsidRDefault="0003312E">
      <w:pPr>
        <w:pStyle w:val="NormalWeb"/>
        <w:spacing w:beforeAutospacing="0" w:after="0" w:afterAutospacing="0" w:line="360" w:lineRule="auto"/>
        <w:ind w:firstLine="709"/>
        <w:jc w:val="both"/>
        <w:rPr>
          <w:b/>
          <w:bCs/>
          <w:sz w:val="24"/>
          <w:lang w:val="pt-BR"/>
        </w:rPr>
      </w:pPr>
    </w:p>
    <w:p w14:paraId="18FA595A" w14:textId="77777777" w:rsidR="0003312E" w:rsidRDefault="0003312E">
      <w:pPr>
        <w:pStyle w:val="NormalWeb"/>
        <w:spacing w:beforeAutospacing="0" w:after="0" w:afterAutospacing="0" w:line="360" w:lineRule="auto"/>
        <w:ind w:firstLine="709"/>
        <w:jc w:val="both"/>
        <w:rPr>
          <w:b/>
          <w:bCs/>
          <w:sz w:val="24"/>
          <w:lang w:val="pt-BR"/>
        </w:rPr>
      </w:pPr>
    </w:p>
    <w:p w14:paraId="57428ACA" w14:textId="77777777" w:rsidR="0003312E" w:rsidRDefault="0003312E">
      <w:pPr>
        <w:pStyle w:val="NormalWeb"/>
        <w:spacing w:beforeAutospacing="0" w:after="0" w:afterAutospacing="0" w:line="360" w:lineRule="auto"/>
        <w:ind w:firstLine="709"/>
        <w:jc w:val="both"/>
        <w:rPr>
          <w:b/>
          <w:bCs/>
          <w:sz w:val="24"/>
          <w:lang w:val="pt-BR"/>
        </w:rPr>
      </w:pPr>
    </w:p>
    <w:p w14:paraId="2ED350F5" w14:textId="77777777" w:rsidR="0003312E" w:rsidRDefault="00000000">
      <w:pPr>
        <w:pStyle w:val="NormalWeb"/>
        <w:spacing w:beforeAutospacing="0" w:after="0" w:afterAutospacing="0" w:line="360" w:lineRule="auto"/>
        <w:ind w:firstLine="709"/>
        <w:jc w:val="both"/>
        <w:rPr>
          <w:sz w:val="24"/>
          <w:lang w:val="pt-BR"/>
        </w:rPr>
      </w:pPr>
      <w:r>
        <w:rPr>
          <w:b/>
          <w:bCs/>
          <w:sz w:val="24"/>
          <w:lang w:val="pt-BR"/>
        </w:rPr>
        <w:lastRenderedPageBreak/>
        <w:t>Quadro 0.4. Mapa dos Limiares: Arqueologia de Conceitos</w:t>
      </w:r>
    </w:p>
    <w:tbl>
      <w:tblPr>
        <w:tblStyle w:val="TabeladeGradeClara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1680"/>
        <w:gridCol w:w="2339"/>
        <w:gridCol w:w="3597"/>
      </w:tblGrid>
      <w:tr w:rsidR="0003312E" w14:paraId="7ABC7F2A" w14:textId="77777777">
        <w:tc>
          <w:tcPr>
            <w:tcW w:w="0" w:type="auto"/>
          </w:tcPr>
          <w:p w14:paraId="7BD59E38" w14:textId="77777777" w:rsidR="0003312E" w:rsidRDefault="00000000">
            <w:pPr>
              <w:pStyle w:val="NormalWeb"/>
              <w:shd w:val="clear" w:color="auto" w:fill="FFFFFF"/>
              <w:spacing w:beforeAutospacing="0" w:after="0" w:afterAutospacing="0" w:line="240" w:lineRule="auto"/>
              <w:rPr>
                <w:b/>
                <w:bCs/>
                <w:sz w:val="20"/>
                <w:szCs w:val="20"/>
              </w:rPr>
            </w:pPr>
            <w:r>
              <w:rPr>
                <w:b/>
                <w:bCs/>
                <w:sz w:val="20"/>
                <w:szCs w:val="20"/>
              </w:rPr>
              <w:t xml:space="preserve">Estado </w:t>
            </w:r>
            <w:proofErr w:type="spellStart"/>
            <w:r>
              <w:rPr>
                <w:b/>
                <w:bCs/>
                <w:sz w:val="20"/>
                <w:szCs w:val="20"/>
              </w:rPr>
              <w:t>Liminar</w:t>
            </w:r>
            <w:proofErr w:type="spellEnd"/>
          </w:p>
        </w:tc>
        <w:tc>
          <w:tcPr>
            <w:tcW w:w="0" w:type="auto"/>
          </w:tcPr>
          <w:p w14:paraId="4D23B4AB" w14:textId="77777777" w:rsidR="0003312E" w:rsidRDefault="00000000">
            <w:pPr>
              <w:pStyle w:val="NormalWeb"/>
              <w:shd w:val="clear" w:color="auto" w:fill="FFFFFF"/>
              <w:spacing w:beforeAutospacing="0" w:after="0" w:afterAutospacing="0" w:line="240" w:lineRule="auto"/>
              <w:rPr>
                <w:b/>
                <w:bCs/>
                <w:sz w:val="20"/>
                <w:szCs w:val="20"/>
              </w:rPr>
            </w:pPr>
            <w:proofErr w:type="spellStart"/>
            <w:r>
              <w:rPr>
                <w:b/>
                <w:bCs/>
                <w:sz w:val="20"/>
                <w:szCs w:val="20"/>
              </w:rPr>
              <w:t>Figura</w:t>
            </w:r>
            <w:proofErr w:type="spellEnd"/>
            <w:r>
              <w:rPr>
                <w:b/>
                <w:bCs/>
                <w:sz w:val="20"/>
                <w:szCs w:val="20"/>
              </w:rPr>
              <w:t xml:space="preserve"> </w:t>
            </w:r>
            <w:proofErr w:type="spellStart"/>
            <w:r>
              <w:rPr>
                <w:b/>
                <w:bCs/>
                <w:sz w:val="20"/>
                <w:szCs w:val="20"/>
              </w:rPr>
              <w:t>Arquetípica</w:t>
            </w:r>
            <w:proofErr w:type="spellEnd"/>
          </w:p>
        </w:tc>
        <w:tc>
          <w:tcPr>
            <w:tcW w:w="0" w:type="auto"/>
          </w:tcPr>
          <w:p w14:paraId="6DD6D45E" w14:textId="77777777" w:rsidR="0003312E" w:rsidRDefault="00000000">
            <w:pPr>
              <w:pStyle w:val="NormalWeb"/>
              <w:shd w:val="clear" w:color="auto" w:fill="FFFFFF"/>
              <w:spacing w:beforeAutospacing="0" w:after="0" w:afterAutospacing="0" w:line="240" w:lineRule="auto"/>
              <w:rPr>
                <w:b/>
                <w:bCs/>
                <w:sz w:val="20"/>
                <w:szCs w:val="20"/>
              </w:rPr>
            </w:pPr>
            <w:proofErr w:type="spellStart"/>
            <w:r>
              <w:rPr>
                <w:b/>
                <w:bCs/>
                <w:sz w:val="20"/>
                <w:szCs w:val="20"/>
              </w:rPr>
              <w:t>Núcleo</w:t>
            </w:r>
            <w:proofErr w:type="spellEnd"/>
            <w:r>
              <w:rPr>
                <w:b/>
                <w:bCs/>
                <w:sz w:val="20"/>
                <w:szCs w:val="20"/>
              </w:rPr>
              <w:t xml:space="preserve"> </w:t>
            </w:r>
            <w:proofErr w:type="spellStart"/>
            <w:r>
              <w:rPr>
                <w:b/>
                <w:bCs/>
                <w:sz w:val="20"/>
                <w:szCs w:val="20"/>
              </w:rPr>
              <w:t>Temático</w:t>
            </w:r>
            <w:proofErr w:type="spellEnd"/>
          </w:p>
        </w:tc>
        <w:tc>
          <w:tcPr>
            <w:tcW w:w="0" w:type="auto"/>
          </w:tcPr>
          <w:p w14:paraId="659E0897" w14:textId="77777777" w:rsidR="0003312E" w:rsidRDefault="00000000">
            <w:pPr>
              <w:pStyle w:val="NormalWeb"/>
              <w:shd w:val="clear" w:color="auto" w:fill="FFFFFF"/>
              <w:spacing w:beforeAutospacing="0" w:after="0" w:afterAutospacing="0" w:line="240" w:lineRule="auto"/>
              <w:rPr>
                <w:b/>
                <w:bCs/>
                <w:sz w:val="20"/>
                <w:szCs w:val="20"/>
              </w:rPr>
            </w:pPr>
            <w:r>
              <w:rPr>
                <w:b/>
                <w:bCs/>
                <w:sz w:val="20"/>
                <w:szCs w:val="20"/>
              </w:rPr>
              <w:t xml:space="preserve">Raiz </w:t>
            </w:r>
            <w:proofErr w:type="spellStart"/>
            <w:r>
              <w:rPr>
                <w:b/>
                <w:bCs/>
                <w:sz w:val="20"/>
                <w:szCs w:val="20"/>
              </w:rPr>
              <w:t>Etimológica</w:t>
            </w:r>
            <w:proofErr w:type="spellEnd"/>
          </w:p>
        </w:tc>
      </w:tr>
      <w:tr w:rsidR="0003312E" w14:paraId="1B9DFCB9" w14:textId="77777777">
        <w:tc>
          <w:tcPr>
            <w:tcW w:w="0" w:type="auto"/>
          </w:tcPr>
          <w:p w14:paraId="2C676732" w14:textId="77777777" w:rsidR="0003312E" w:rsidRDefault="00000000">
            <w:pPr>
              <w:pStyle w:val="NormalWeb"/>
              <w:shd w:val="clear" w:color="auto" w:fill="FFFFFF"/>
              <w:spacing w:beforeAutospacing="0" w:after="0" w:afterAutospacing="0" w:line="240" w:lineRule="auto"/>
              <w:rPr>
                <w:sz w:val="20"/>
                <w:szCs w:val="20"/>
              </w:rPr>
            </w:pPr>
            <w:proofErr w:type="spellStart"/>
            <w:r>
              <w:rPr>
                <w:b/>
                <w:bCs/>
                <w:sz w:val="20"/>
                <w:szCs w:val="20"/>
              </w:rPr>
              <w:t>Hipnose</w:t>
            </w:r>
            <w:proofErr w:type="spellEnd"/>
          </w:p>
        </w:tc>
        <w:tc>
          <w:tcPr>
            <w:tcW w:w="0" w:type="auto"/>
          </w:tcPr>
          <w:p w14:paraId="15EEA33D" w14:textId="77777777" w:rsidR="0003312E" w:rsidRDefault="00000000">
            <w:pPr>
              <w:pStyle w:val="NormalWeb"/>
              <w:shd w:val="clear" w:color="auto" w:fill="FFFFFF"/>
              <w:spacing w:beforeAutospacing="0" w:after="0" w:afterAutospacing="0" w:line="240" w:lineRule="auto"/>
              <w:rPr>
                <w:sz w:val="20"/>
                <w:szCs w:val="20"/>
              </w:rPr>
            </w:pPr>
            <w:r>
              <w:rPr>
                <w:sz w:val="20"/>
                <w:szCs w:val="20"/>
              </w:rPr>
              <w:t>James Braid</w:t>
            </w:r>
          </w:p>
        </w:tc>
        <w:tc>
          <w:tcPr>
            <w:tcW w:w="0" w:type="auto"/>
          </w:tcPr>
          <w:p w14:paraId="7EF905DE" w14:textId="77777777" w:rsidR="0003312E" w:rsidRDefault="00000000">
            <w:pPr>
              <w:pStyle w:val="NormalWeb"/>
              <w:shd w:val="clear" w:color="auto" w:fill="FFFFFF"/>
              <w:spacing w:beforeAutospacing="0" w:after="0" w:afterAutospacing="0" w:line="240" w:lineRule="auto"/>
              <w:rPr>
                <w:sz w:val="20"/>
                <w:szCs w:val="20"/>
              </w:rPr>
            </w:pPr>
            <w:r>
              <w:rPr>
                <w:sz w:val="20"/>
                <w:szCs w:val="20"/>
              </w:rPr>
              <w:t xml:space="preserve">O </w:t>
            </w:r>
            <w:proofErr w:type="spellStart"/>
            <w:r>
              <w:rPr>
                <w:sz w:val="20"/>
                <w:szCs w:val="20"/>
              </w:rPr>
              <w:t>Portão</w:t>
            </w:r>
            <w:proofErr w:type="spellEnd"/>
            <w:r>
              <w:rPr>
                <w:sz w:val="20"/>
                <w:szCs w:val="20"/>
              </w:rPr>
              <w:t xml:space="preserve"> do Sono</w:t>
            </w:r>
          </w:p>
        </w:tc>
        <w:tc>
          <w:tcPr>
            <w:tcW w:w="0" w:type="auto"/>
          </w:tcPr>
          <w:p w14:paraId="32630405" w14:textId="77777777" w:rsidR="0003312E" w:rsidRDefault="00000000">
            <w:pPr>
              <w:pStyle w:val="NormalWeb"/>
              <w:shd w:val="clear" w:color="auto" w:fill="FFFFFF"/>
              <w:spacing w:beforeAutospacing="0" w:after="0" w:afterAutospacing="0" w:line="240" w:lineRule="auto"/>
              <w:rPr>
                <w:sz w:val="20"/>
                <w:szCs w:val="20"/>
              </w:rPr>
            </w:pPr>
            <w:r>
              <w:rPr>
                <w:sz w:val="20"/>
                <w:szCs w:val="20"/>
              </w:rPr>
              <w:t>Grego </w:t>
            </w:r>
            <w:proofErr w:type="spellStart"/>
            <w:r>
              <w:rPr>
                <w:i/>
                <w:iCs/>
                <w:sz w:val="20"/>
                <w:szCs w:val="20"/>
              </w:rPr>
              <w:t>hýpnos</w:t>
            </w:r>
            <w:proofErr w:type="spellEnd"/>
            <w:r>
              <w:rPr>
                <w:sz w:val="20"/>
                <w:szCs w:val="20"/>
              </w:rPr>
              <w:t> (</w:t>
            </w:r>
            <w:proofErr w:type="spellStart"/>
            <w:r>
              <w:rPr>
                <w:sz w:val="20"/>
                <w:szCs w:val="20"/>
              </w:rPr>
              <w:t>sono</w:t>
            </w:r>
            <w:proofErr w:type="spellEnd"/>
            <w:r>
              <w:rPr>
                <w:sz w:val="20"/>
                <w:szCs w:val="20"/>
              </w:rPr>
              <w:t>)</w:t>
            </w:r>
          </w:p>
        </w:tc>
      </w:tr>
      <w:tr w:rsidR="0003312E" w14:paraId="069EE8AF" w14:textId="77777777">
        <w:tc>
          <w:tcPr>
            <w:tcW w:w="0" w:type="auto"/>
          </w:tcPr>
          <w:p w14:paraId="16F514EF" w14:textId="77777777" w:rsidR="0003312E" w:rsidRDefault="00000000">
            <w:pPr>
              <w:pStyle w:val="NormalWeb"/>
              <w:shd w:val="clear" w:color="auto" w:fill="FFFFFF"/>
              <w:spacing w:beforeAutospacing="0" w:after="0" w:afterAutospacing="0" w:line="240" w:lineRule="auto"/>
              <w:rPr>
                <w:sz w:val="20"/>
                <w:szCs w:val="20"/>
              </w:rPr>
            </w:pPr>
            <w:r>
              <w:rPr>
                <w:b/>
                <w:bCs/>
                <w:sz w:val="20"/>
                <w:szCs w:val="20"/>
              </w:rPr>
              <w:t>Coma</w:t>
            </w:r>
          </w:p>
        </w:tc>
        <w:tc>
          <w:tcPr>
            <w:tcW w:w="0" w:type="auto"/>
          </w:tcPr>
          <w:p w14:paraId="5330D27D" w14:textId="77777777" w:rsidR="0003312E" w:rsidRDefault="00000000">
            <w:pPr>
              <w:pStyle w:val="NormalWeb"/>
              <w:shd w:val="clear" w:color="auto" w:fill="FFFFFF"/>
              <w:spacing w:beforeAutospacing="0" w:after="0" w:afterAutospacing="0" w:line="240" w:lineRule="auto"/>
              <w:rPr>
                <w:sz w:val="20"/>
                <w:szCs w:val="20"/>
              </w:rPr>
            </w:pPr>
            <w:r>
              <w:rPr>
                <w:sz w:val="20"/>
                <w:szCs w:val="20"/>
              </w:rPr>
              <w:t>Harvey Cushing</w:t>
            </w:r>
          </w:p>
        </w:tc>
        <w:tc>
          <w:tcPr>
            <w:tcW w:w="0" w:type="auto"/>
          </w:tcPr>
          <w:p w14:paraId="1307F20F" w14:textId="77777777" w:rsidR="0003312E" w:rsidRDefault="00000000">
            <w:pPr>
              <w:pStyle w:val="NormalWeb"/>
              <w:shd w:val="clear" w:color="auto" w:fill="FFFFFF"/>
              <w:spacing w:beforeAutospacing="0" w:after="0" w:afterAutospacing="0" w:line="240" w:lineRule="auto"/>
              <w:rPr>
                <w:sz w:val="20"/>
                <w:szCs w:val="20"/>
              </w:rPr>
            </w:pPr>
            <w:r>
              <w:rPr>
                <w:sz w:val="20"/>
                <w:szCs w:val="20"/>
              </w:rPr>
              <w:t xml:space="preserve">O </w:t>
            </w:r>
            <w:proofErr w:type="spellStart"/>
            <w:r>
              <w:rPr>
                <w:sz w:val="20"/>
                <w:szCs w:val="20"/>
              </w:rPr>
              <w:t>Silêncio</w:t>
            </w:r>
            <w:proofErr w:type="spellEnd"/>
            <w:r>
              <w:rPr>
                <w:sz w:val="20"/>
                <w:szCs w:val="20"/>
              </w:rPr>
              <w:t xml:space="preserve"> do </w:t>
            </w:r>
            <w:proofErr w:type="spellStart"/>
            <w:r>
              <w:rPr>
                <w:sz w:val="20"/>
                <w:szCs w:val="20"/>
              </w:rPr>
              <w:t>Pensamento</w:t>
            </w:r>
            <w:proofErr w:type="spellEnd"/>
          </w:p>
        </w:tc>
        <w:tc>
          <w:tcPr>
            <w:tcW w:w="0" w:type="auto"/>
          </w:tcPr>
          <w:p w14:paraId="32DDEB76" w14:textId="77777777" w:rsidR="0003312E" w:rsidRDefault="00000000">
            <w:pPr>
              <w:pStyle w:val="NormalWeb"/>
              <w:shd w:val="clear" w:color="auto" w:fill="FFFFFF"/>
              <w:spacing w:beforeAutospacing="0" w:after="0" w:afterAutospacing="0" w:line="240" w:lineRule="auto"/>
              <w:rPr>
                <w:sz w:val="20"/>
                <w:szCs w:val="20"/>
              </w:rPr>
            </w:pPr>
            <w:r>
              <w:rPr>
                <w:sz w:val="20"/>
                <w:szCs w:val="20"/>
              </w:rPr>
              <w:t>Grego </w:t>
            </w:r>
            <w:proofErr w:type="spellStart"/>
            <w:r>
              <w:rPr>
                <w:i/>
                <w:iCs/>
                <w:sz w:val="20"/>
                <w:szCs w:val="20"/>
              </w:rPr>
              <w:t>kôma</w:t>
            </w:r>
            <w:proofErr w:type="spellEnd"/>
            <w:r>
              <w:rPr>
                <w:sz w:val="20"/>
                <w:szCs w:val="20"/>
              </w:rPr>
              <w:t> (</w:t>
            </w:r>
            <w:proofErr w:type="spellStart"/>
            <w:r>
              <w:rPr>
                <w:sz w:val="20"/>
                <w:szCs w:val="20"/>
              </w:rPr>
              <w:t>sono</w:t>
            </w:r>
            <w:proofErr w:type="spellEnd"/>
            <w:r>
              <w:rPr>
                <w:sz w:val="20"/>
                <w:szCs w:val="20"/>
              </w:rPr>
              <w:t xml:space="preserve"> profundo)</w:t>
            </w:r>
          </w:p>
        </w:tc>
      </w:tr>
      <w:tr w:rsidR="0003312E" w14:paraId="4FD8C95B" w14:textId="77777777">
        <w:tc>
          <w:tcPr>
            <w:tcW w:w="0" w:type="auto"/>
          </w:tcPr>
          <w:p w14:paraId="19513ABF" w14:textId="77777777" w:rsidR="0003312E" w:rsidRDefault="00000000">
            <w:pPr>
              <w:pStyle w:val="NormalWeb"/>
              <w:shd w:val="clear" w:color="auto" w:fill="FFFFFF"/>
              <w:spacing w:beforeAutospacing="0" w:after="0" w:afterAutospacing="0" w:line="240" w:lineRule="auto"/>
              <w:rPr>
                <w:sz w:val="20"/>
                <w:szCs w:val="20"/>
              </w:rPr>
            </w:pPr>
            <w:r>
              <w:rPr>
                <w:b/>
                <w:bCs/>
                <w:sz w:val="20"/>
                <w:szCs w:val="20"/>
              </w:rPr>
              <w:t>Frenesi</w:t>
            </w:r>
          </w:p>
        </w:tc>
        <w:tc>
          <w:tcPr>
            <w:tcW w:w="0" w:type="auto"/>
          </w:tcPr>
          <w:p w14:paraId="5C477B90" w14:textId="77777777" w:rsidR="0003312E" w:rsidRDefault="00000000">
            <w:pPr>
              <w:pStyle w:val="NormalWeb"/>
              <w:shd w:val="clear" w:color="auto" w:fill="FFFFFF"/>
              <w:spacing w:beforeAutospacing="0" w:after="0" w:afterAutospacing="0" w:line="240" w:lineRule="auto"/>
              <w:rPr>
                <w:sz w:val="20"/>
                <w:szCs w:val="20"/>
              </w:rPr>
            </w:pPr>
            <w:r>
              <w:rPr>
                <w:sz w:val="20"/>
                <w:szCs w:val="20"/>
              </w:rPr>
              <w:t>Friedrich Nietzsche</w:t>
            </w:r>
          </w:p>
        </w:tc>
        <w:tc>
          <w:tcPr>
            <w:tcW w:w="0" w:type="auto"/>
          </w:tcPr>
          <w:p w14:paraId="3D5C3CC6" w14:textId="77777777" w:rsidR="0003312E" w:rsidRDefault="00000000">
            <w:pPr>
              <w:pStyle w:val="NormalWeb"/>
              <w:shd w:val="clear" w:color="auto" w:fill="FFFFFF"/>
              <w:spacing w:beforeAutospacing="0" w:after="0" w:afterAutospacing="0" w:line="240" w:lineRule="auto"/>
              <w:rPr>
                <w:sz w:val="20"/>
                <w:szCs w:val="20"/>
              </w:rPr>
            </w:pPr>
            <w:proofErr w:type="gramStart"/>
            <w:r>
              <w:rPr>
                <w:sz w:val="20"/>
                <w:szCs w:val="20"/>
              </w:rPr>
              <w:t>A</w:t>
            </w:r>
            <w:proofErr w:type="gramEnd"/>
            <w:r>
              <w:rPr>
                <w:sz w:val="20"/>
                <w:szCs w:val="20"/>
              </w:rPr>
              <w:t xml:space="preserve"> Ira da Mente</w:t>
            </w:r>
          </w:p>
        </w:tc>
        <w:tc>
          <w:tcPr>
            <w:tcW w:w="0" w:type="auto"/>
          </w:tcPr>
          <w:p w14:paraId="16943C44" w14:textId="77777777" w:rsidR="0003312E" w:rsidRDefault="00000000">
            <w:pPr>
              <w:pStyle w:val="NormalWeb"/>
              <w:shd w:val="clear" w:color="auto" w:fill="FFFFFF"/>
              <w:spacing w:beforeAutospacing="0" w:after="0" w:afterAutospacing="0" w:line="240" w:lineRule="auto"/>
              <w:rPr>
                <w:sz w:val="20"/>
                <w:szCs w:val="20"/>
                <w:lang w:val="pt-BR"/>
              </w:rPr>
            </w:pPr>
            <w:r>
              <w:rPr>
                <w:sz w:val="20"/>
                <w:szCs w:val="20"/>
                <w:lang w:val="pt-BR"/>
              </w:rPr>
              <w:t>Grego </w:t>
            </w:r>
            <w:proofErr w:type="spellStart"/>
            <w:r>
              <w:rPr>
                <w:i/>
                <w:iCs/>
                <w:sz w:val="20"/>
                <w:szCs w:val="20"/>
                <w:lang w:val="pt-BR"/>
              </w:rPr>
              <w:t>phrenítis</w:t>
            </w:r>
            <w:proofErr w:type="spellEnd"/>
            <w:r>
              <w:rPr>
                <w:sz w:val="20"/>
                <w:szCs w:val="20"/>
                <w:lang w:val="pt-BR"/>
              </w:rPr>
              <w:t> (inflamação da mente)</w:t>
            </w:r>
          </w:p>
        </w:tc>
      </w:tr>
      <w:tr w:rsidR="0003312E" w14:paraId="5DD4A827" w14:textId="77777777">
        <w:tc>
          <w:tcPr>
            <w:tcW w:w="0" w:type="auto"/>
          </w:tcPr>
          <w:p w14:paraId="4AB17AEE" w14:textId="77777777" w:rsidR="0003312E" w:rsidRDefault="00000000">
            <w:pPr>
              <w:pStyle w:val="NormalWeb"/>
              <w:shd w:val="clear" w:color="auto" w:fill="FFFFFF"/>
              <w:spacing w:beforeAutospacing="0" w:after="0" w:afterAutospacing="0" w:line="240" w:lineRule="auto"/>
              <w:rPr>
                <w:sz w:val="20"/>
                <w:szCs w:val="20"/>
              </w:rPr>
            </w:pPr>
            <w:proofErr w:type="spellStart"/>
            <w:r>
              <w:rPr>
                <w:b/>
                <w:bCs/>
                <w:sz w:val="20"/>
                <w:szCs w:val="20"/>
              </w:rPr>
              <w:t>Melancolia</w:t>
            </w:r>
            <w:proofErr w:type="spellEnd"/>
          </w:p>
        </w:tc>
        <w:tc>
          <w:tcPr>
            <w:tcW w:w="0" w:type="auto"/>
          </w:tcPr>
          <w:p w14:paraId="15C5D242" w14:textId="77777777" w:rsidR="0003312E" w:rsidRDefault="00000000">
            <w:pPr>
              <w:pStyle w:val="NormalWeb"/>
              <w:shd w:val="clear" w:color="auto" w:fill="FFFFFF"/>
              <w:spacing w:beforeAutospacing="0" w:after="0" w:afterAutospacing="0" w:line="240" w:lineRule="auto"/>
              <w:rPr>
                <w:sz w:val="20"/>
                <w:szCs w:val="20"/>
              </w:rPr>
            </w:pPr>
            <w:r>
              <w:rPr>
                <w:sz w:val="20"/>
                <w:szCs w:val="20"/>
              </w:rPr>
              <w:t>Robert Burton</w:t>
            </w:r>
          </w:p>
        </w:tc>
        <w:tc>
          <w:tcPr>
            <w:tcW w:w="0" w:type="auto"/>
          </w:tcPr>
          <w:p w14:paraId="611FE0A0" w14:textId="77777777" w:rsidR="0003312E" w:rsidRDefault="00000000">
            <w:pPr>
              <w:pStyle w:val="NormalWeb"/>
              <w:shd w:val="clear" w:color="auto" w:fill="FFFFFF"/>
              <w:spacing w:beforeAutospacing="0" w:after="0" w:afterAutospacing="0" w:line="240" w:lineRule="auto"/>
              <w:rPr>
                <w:sz w:val="20"/>
                <w:szCs w:val="20"/>
              </w:rPr>
            </w:pPr>
            <w:r>
              <w:rPr>
                <w:sz w:val="20"/>
                <w:szCs w:val="20"/>
              </w:rPr>
              <w:t xml:space="preserve">A </w:t>
            </w:r>
            <w:proofErr w:type="spellStart"/>
            <w:r>
              <w:rPr>
                <w:sz w:val="20"/>
                <w:szCs w:val="20"/>
              </w:rPr>
              <w:t>Cidade</w:t>
            </w:r>
            <w:proofErr w:type="spellEnd"/>
            <w:r>
              <w:rPr>
                <w:sz w:val="20"/>
                <w:szCs w:val="20"/>
              </w:rPr>
              <w:t xml:space="preserve"> </w:t>
            </w:r>
            <w:proofErr w:type="spellStart"/>
            <w:r>
              <w:rPr>
                <w:sz w:val="20"/>
                <w:szCs w:val="20"/>
              </w:rPr>
              <w:t>Subterrânea</w:t>
            </w:r>
            <w:proofErr w:type="spellEnd"/>
          </w:p>
        </w:tc>
        <w:tc>
          <w:tcPr>
            <w:tcW w:w="0" w:type="auto"/>
          </w:tcPr>
          <w:p w14:paraId="1EF9523D" w14:textId="77777777" w:rsidR="0003312E" w:rsidRDefault="00000000">
            <w:pPr>
              <w:pStyle w:val="NormalWeb"/>
              <w:shd w:val="clear" w:color="auto" w:fill="FFFFFF"/>
              <w:spacing w:beforeAutospacing="0" w:after="0" w:afterAutospacing="0" w:line="240" w:lineRule="auto"/>
              <w:rPr>
                <w:sz w:val="20"/>
                <w:szCs w:val="20"/>
                <w:lang w:val="pt-BR"/>
              </w:rPr>
            </w:pPr>
            <w:r>
              <w:rPr>
                <w:sz w:val="20"/>
                <w:szCs w:val="20"/>
                <w:lang w:val="pt-BR"/>
              </w:rPr>
              <w:t>Grego </w:t>
            </w:r>
            <w:proofErr w:type="spellStart"/>
            <w:r>
              <w:rPr>
                <w:i/>
                <w:iCs/>
                <w:sz w:val="20"/>
                <w:szCs w:val="20"/>
                <w:lang w:val="pt-BR"/>
              </w:rPr>
              <w:t>mélas</w:t>
            </w:r>
            <w:proofErr w:type="spellEnd"/>
            <w:r>
              <w:rPr>
                <w:sz w:val="20"/>
                <w:szCs w:val="20"/>
                <w:lang w:val="pt-BR"/>
              </w:rPr>
              <w:t> (negro) + </w:t>
            </w:r>
            <w:proofErr w:type="spellStart"/>
            <w:r>
              <w:rPr>
                <w:i/>
                <w:iCs/>
                <w:sz w:val="20"/>
                <w:szCs w:val="20"/>
                <w:lang w:val="pt-BR"/>
              </w:rPr>
              <w:t>kholḗ</w:t>
            </w:r>
            <w:proofErr w:type="spellEnd"/>
            <w:r>
              <w:rPr>
                <w:sz w:val="20"/>
                <w:szCs w:val="20"/>
                <w:lang w:val="pt-BR"/>
              </w:rPr>
              <w:t> (bile)</w:t>
            </w:r>
          </w:p>
        </w:tc>
      </w:tr>
      <w:tr w:rsidR="0003312E" w14:paraId="3C7409C5" w14:textId="77777777">
        <w:tc>
          <w:tcPr>
            <w:tcW w:w="0" w:type="auto"/>
          </w:tcPr>
          <w:p w14:paraId="4243D0A3" w14:textId="77777777" w:rsidR="0003312E" w:rsidRDefault="00000000">
            <w:pPr>
              <w:pStyle w:val="NormalWeb"/>
              <w:shd w:val="clear" w:color="auto" w:fill="FFFFFF"/>
              <w:spacing w:beforeAutospacing="0" w:after="0" w:afterAutospacing="0" w:line="240" w:lineRule="auto"/>
              <w:rPr>
                <w:sz w:val="20"/>
                <w:szCs w:val="20"/>
              </w:rPr>
            </w:pPr>
            <w:proofErr w:type="spellStart"/>
            <w:r>
              <w:rPr>
                <w:b/>
                <w:bCs/>
                <w:sz w:val="20"/>
                <w:szCs w:val="20"/>
              </w:rPr>
              <w:t>Êxtase</w:t>
            </w:r>
            <w:proofErr w:type="spellEnd"/>
          </w:p>
        </w:tc>
        <w:tc>
          <w:tcPr>
            <w:tcW w:w="0" w:type="auto"/>
          </w:tcPr>
          <w:p w14:paraId="3EA7C958" w14:textId="77777777" w:rsidR="0003312E" w:rsidRDefault="00000000">
            <w:pPr>
              <w:pStyle w:val="NormalWeb"/>
              <w:shd w:val="clear" w:color="auto" w:fill="FFFFFF"/>
              <w:spacing w:beforeAutospacing="0" w:after="0" w:afterAutospacing="0" w:line="240" w:lineRule="auto"/>
              <w:rPr>
                <w:sz w:val="20"/>
                <w:szCs w:val="20"/>
              </w:rPr>
            </w:pPr>
            <w:r>
              <w:rPr>
                <w:sz w:val="20"/>
                <w:szCs w:val="20"/>
              </w:rPr>
              <w:t>Santa Teresa de Ávila</w:t>
            </w:r>
          </w:p>
        </w:tc>
        <w:tc>
          <w:tcPr>
            <w:tcW w:w="0" w:type="auto"/>
          </w:tcPr>
          <w:p w14:paraId="45E3FD6D" w14:textId="77777777" w:rsidR="0003312E" w:rsidRDefault="00000000">
            <w:pPr>
              <w:pStyle w:val="NormalWeb"/>
              <w:shd w:val="clear" w:color="auto" w:fill="FFFFFF"/>
              <w:spacing w:beforeAutospacing="0" w:after="0" w:afterAutospacing="0" w:line="240" w:lineRule="auto"/>
              <w:rPr>
                <w:sz w:val="20"/>
                <w:szCs w:val="20"/>
              </w:rPr>
            </w:pPr>
            <w:r>
              <w:rPr>
                <w:sz w:val="20"/>
                <w:szCs w:val="20"/>
              </w:rPr>
              <w:t xml:space="preserve">A </w:t>
            </w:r>
            <w:proofErr w:type="spellStart"/>
            <w:r>
              <w:rPr>
                <w:sz w:val="20"/>
                <w:szCs w:val="20"/>
              </w:rPr>
              <w:t>Transcendência</w:t>
            </w:r>
            <w:proofErr w:type="spellEnd"/>
          </w:p>
        </w:tc>
        <w:tc>
          <w:tcPr>
            <w:tcW w:w="0" w:type="auto"/>
          </w:tcPr>
          <w:p w14:paraId="567E0AE0" w14:textId="77777777" w:rsidR="0003312E" w:rsidRDefault="00000000">
            <w:pPr>
              <w:pStyle w:val="NormalWeb"/>
              <w:shd w:val="clear" w:color="auto" w:fill="FFFFFF"/>
              <w:spacing w:beforeAutospacing="0" w:after="0" w:afterAutospacing="0" w:line="240" w:lineRule="auto"/>
              <w:rPr>
                <w:sz w:val="20"/>
                <w:szCs w:val="20"/>
                <w:lang w:val="pt-BR"/>
              </w:rPr>
            </w:pPr>
            <w:r>
              <w:rPr>
                <w:sz w:val="20"/>
                <w:szCs w:val="20"/>
                <w:lang w:val="pt-BR"/>
              </w:rPr>
              <w:t>Grego </w:t>
            </w:r>
            <w:proofErr w:type="spellStart"/>
            <w:r>
              <w:rPr>
                <w:i/>
                <w:iCs/>
                <w:sz w:val="20"/>
                <w:szCs w:val="20"/>
                <w:lang w:val="pt-BR"/>
              </w:rPr>
              <w:t>ékstasis</w:t>
            </w:r>
            <w:proofErr w:type="spellEnd"/>
            <w:r>
              <w:rPr>
                <w:sz w:val="20"/>
                <w:szCs w:val="20"/>
                <w:lang w:val="pt-BR"/>
              </w:rPr>
              <w:t> (estar fora de si)</w:t>
            </w:r>
          </w:p>
        </w:tc>
      </w:tr>
      <w:tr w:rsidR="0003312E" w14:paraId="7E828F39" w14:textId="77777777">
        <w:tc>
          <w:tcPr>
            <w:tcW w:w="0" w:type="auto"/>
          </w:tcPr>
          <w:p w14:paraId="4AA78E9A" w14:textId="77777777" w:rsidR="0003312E" w:rsidRDefault="00000000">
            <w:pPr>
              <w:pStyle w:val="NormalWeb"/>
              <w:shd w:val="clear" w:color="auto" w:fill="FFFFFF"/>
              <w:spacing w:beforeAutospacing="0" w:after="0" w:afterAutospacing="0" w:line="240" w:lineRule="auto"/>
              <w:rPr>
                <w:sz w:val="20"/>
                <w:szCs w:val="20"/>
              </w:rPr>
            </w:pPr>
            <w:proofErr w:type="spellStart"/>
            <w:r>
              <w:rPr>
                <w:b/>
                <w:bCs/>
                <w:sz w:val="20"/>
                <w:szCs w:val="20"/>
              </w:rPr>
              <w:t>Delírio</w:t>
            </w:r>
            <w:proofErr w:type="spellEnd"/>
          </w:p>
        </w:tc>
        <w:tc>
          <w:tcPr>
            <w:tcW w:w="0" w:type="auto"/>
          </w:tcPr>
          <w:p w14:paraId="19168117" w14:textId="77777777" w:rsidR="0003312E" w:rsidRDefault="00000000">
            <w:pPr>
              <w:pStyle w:val="NormalWeb"/>
              <w:shd w:val="clear" w:color="auto" w:fill="FFFFFF"/>
              <w:spacing w:beforeAutospacing="0" w:after="0" w:afterAutospacing="0" w:line="240" w:lineRule="auto"/>
              <w:rPr>
                <w:sz w:val="20"/>
                <w:szCs w:val="20"/>
              </w:rPr>
            </w:pPr>
            <w:r>
              <w:rPr>
                <w:sz w:val="20"/>
                <w:szCs w:val="20"/>
              </w:rPr>
              <w:t>Vincent van Gogh</w:t>
            </w:r>
          </w:p>
        </w:tc>
        <w:tc>
          <w:tcPr>
            <w:tcW w:w="0" w:type="auto"/>
          </w:tcPr>
          <w:p w14:paraId="0F630C5A" w14:textId="77777777" w:rsidR="0003312E" w:rsidRDefault="00000000">
            <w:pPr>
              <w:pStyle w:val="NormalWeb"/>
              <w:shd w:val="clear" w:color="auto" w:fill="FFFFFF"/>
              <w:spacing w:beforeAutospacing="0" w:after="0" w:afterAutospacing="0" w:line="240" w:lineRule="auto"/>
              <w:rPr>
                <w:sz w:val="20"/>
                <w:szCs w:val="20"/>
              </w:rPr>
            </w:pPr>
            <w:r>
              <w:rPr>
                <w:sz w:val="20"/>
                <w:szCs w:val="20"/>
              </w:rPr>
              <w:t xml:space="preserve">O </w:t>
            </w:r>
            <w:proofErr w:type="spellStart"/>
            <w:r>
              <w:rPr>
                <w:sz w:val="20"/>
                <w:szCs w:val="20"/>
              </w:rPr>
              <w:t>Labirinto</w:t>
            </w:r>
            <w:proofErr w:type="spellEnd"/>
            <w:r>
              <w:rPr>
                <w:sz w:val="20"/>
                <w:szCs w:val="20"/>
              </w:rPr>
              <w:t xml:space="preserve"> </w:t>
            </w:r>
            <w:proofErr w:type="spellStart"/>
            <w:r>
              <w:rPr>
                <w:sz w:val="20"/>
                <w:szCs w:val="20"/>
              </w:rPr>
              <w:t>Invertido</w:t>
            </w:r>
            <w:proofErr w:type="spellEnd"/>
          </w:p>
        </w:tc>
        <w:tc>
          <w:tcPr>
            <w:tcW w:w="0" w:type="auto"/>
          </w:tcPr>
          <w:p w14:paraId="65DD86A0" w14:textId="77777777" w:rsidR="0003312E" w:rsidRDefault="00000000">
            <w:pPr>
              <w:pStyle w:val="NormalWeb"/>
              <w:shd w:val="clear" w:color="auto" w:fill="FFFFFF"/>
              <w:spacing w:beforeAutospacing="0" w:after="0" w:afterAutospacing="0" w:line="240" w:lineRule="auto"/>
              <w:rPr>
                <w:sz w:val="20"/>
                <w:szCs w:val="20"/>
                <w:lang w:val="pt-BR"/>
              </w:rPr>
            </w:pPr>
            <w:r>
              <w:rPr>
                <w:sz w:val="20"/>
                <w:szCs w:val="20"/>
                <w:lang w:val="pt-BR"/>
              </w:rPr>
              <w:t>Latim </w:t>
            </w:r>
            <w:proofErr w:type="spellStart"/>
            <w:r>
              <w:rPr>
                <w:i/>
                <w:iCs/>
                <w:sz w:val="20"/>
                <w:szCs w:val="20"/>
                <w:lang w:val="pt-BR"/>
              </w:rPr>
              <w:t>delirare</w:t>
            </w:r>
            <w:proofErr w:type="spellEnd"/>
            <w:r>
              <w:rPr>
                <w:sz w:val="20"/>
                <w:szCs w:val="20"/>
                <w:lang w:val="pt-BR"/>
              </w:rPr>
              <w:t> (sair do sulco)</w:t>
            </w:r>
          </w:p>
        </w:tc>
      </w:tr>
      <w:tr w:rsidR="0003312E" w14:paraId="60C8A734" w14:textId="77777777">
        <w:tc>
          <w:tcPr>
            <w:tcW w:w="0" w:type="auto"/>
          </w:tcPr>
          <w:p w14:paraId="71BD7B82" w14:textId="77777777" w:rsidR="0003312E" w:rsidRDefault="00000000">
            <w:pPr>
              <w:pStyle w:val="NormalWeb"/>
              <w:shd w:val="clear" w:color="auto" w:fill="FFFFFF"/>
              <w:spacing w:beforeAutospacing="0" w:after="0" w:afterAutospacing="0" w:line="240" w:lineRule="auto"/>
              <w:rPr>
                <w:sz w:val="20"/>
                <w:szCs w:val="20"/>
              </w:rPr>
            </w:pPr>
            <w:r>
              <w:rPr>
                <w:b/>
                <w:bCs/>
                <w:sz w:val="20"/>
                <w:szCs w:val="20"/>
              </w:rPr>
              <w:t>Histeria</w:t>
            </w:r>
          </w:p>
        </w:tc>
        <w:tc>
          <w:tcPr>
            <w:tcW w:w="0" w:type="auto"/>
          </w:tcPr>
          <w:p w14:paraId="0D382988" w14:textId="77777777" w:rsidR="0003312E" w:rsidRDefault="00000000">
            <w:pPr>
              <w:pStyle w:val="NormalWeb"/>
              <w:shd w:val="clear" w:color="auto" w:fill="FFFFFF"/>
              <w:spacing w:beforeAutospacing="0" w:after="0" w:afterAutospacing="0" w:line="240" w:lineRule="auto"/>
              <w:rPr>
                <w:sz w:val="20"/>
                <w:szCs w:val="20"/>
              </w:rPr>
            </w:pPr>
            <w:r>
              <w:rPr>
                <w:sz w:val="20"/>
                <w:szCs w:val="20"/>
              </w:rPr>
              <w:t>Jean-Martin Charcot</w:t>
            </w:r>
          </w:p>
        </w:tc>
        <w:tc>
          <w:tcPr>
            <w:tcW w:w="0" w:type="auto"/>
          </w:tcPr>
          <w:p w14:paraId="3E9E1143" w14:textId="77777777" w:rsidR="0003312E" w:rsidRDefault="00000000">
            <w:pPr>
              <w:pStyle w:val="NormalWeb"/>
              <w:shd w:val="clear" w:color="auto" w:fill="FFFFFF"/>
              <w:spacing w:beforeAutospacing="0" w:after="0" w:afterAutospacing="0" w:line="240" w:lineRule="auto"/>
              <w:rPr>
                <w:sz w:val="20"/>
                <w:szCs w:val="20"/>
              </w:rPr>
            </w:pPr>
            <w:r>
              <w:rPr>
                <w:sz w:val="20"/>
                <w:szCs w:val="20"/>
              </w:rPr>
              <w:t xml:space="preserve">O Código da </w:t>
            </w:r>
            <w:proofErr w:type="spellStart"/>
            <w:r>
              <w:rPr>
                <w:sz w:val="20"/>
                <w:szCs w:val="20"/>
              </w:rPr>
              <w:t>Memória</w:t>
            </w:r>
            <w:proofErr w:type="spellEnd"/>
          </w:p>
        </w:tc>
        <w:tc>
          <w:tcPr>
            <w:tcW w:w="0" w:type="auto"/>
          </w:tcPr>
          <w:p w14:paraId="5108FC6C" w14:textId="77777777" w:rsidR="0003312E" w:rsidRDefault="00000000">
            <w:pPr>
              <w:pStyle w:val="NormalWeb"/>
              <w:shd w:val="clear" w:color="auto" w:fill="FFFFFF"/>
              <w:spacing w:beforeAutospacing="0" w:after="0" w:afterAutospacing="0" w:line="240" w:lineRule="auto"/>
              <w:rPr>
                <w:sz w:val="20"/>
                <w:szCs w:val="20"/>
              </w:rPr>
            </w:pPr>
            <w:r>
              <w:rPr>
                <w:sz w:val="20"/>
                <w:szCs w:val="20"/>
              </w:rPr>
              <w:t>Grego </w:t>
            </w:r>
            <w:proofErr w:type="spellStart"/>
            <w:r>
              <w:rPr>
                <w:i/>
                <w:iCs/>
                <w:sz w:val="20"/>
                <w:szCs w:val="20"/>
              </w:rPr>
              <w:t>hystéra</w:t>
            </w:r>
            <w:proofErr w:type="spellEnd"/>
            <w:r>
              <w:rPr>
                <w:sz w:val="20"/>
                <w:szCs w:val="20"/>
              </w:rPr>
              <w:t> (</w:t>
            </w:r>
            <w:proofErr w:type="spellStart"/>
            <w:r>
              <w:rPr>
                <w:sz w:val="20"/>
                <w:szCs w:val="20"/>
              </w:rPr>
              <w:t>útero</w:t>
            </w:r>
            <w:proofErr w:type="spellEnd"/>
            <w:r>
              <w:rPr>
                <w:sz w:val="20"/>
                <w:szCs w:val="20"/>
              </w:rPr>
              <w:t>)</w:t>
            </w:r>
          </w:p>
        </w:tc>
      </w:tr>
      <w:tr w:rsidR="0003312E" w14:paraId="5B1D2AF4" w14:textId="77777777">
        <w:tc>
          <w:tcPr>
            <w:tcW w:w="0" w:type="auto"/>
          </w:tcPr>
          <w:p w14:paraId="0CC36C48" w14:textId="77777777" w:rsidR="0003312E" w:rsidRDefault="00000000">
            <w:pPr>
              <w:pStyle w:val="NormalWeb"/>
              <w:shd w:val="clear" w:color="auto" w:fill="FFFFFF"/>
              <w:spacing w:beforeAutospacing="0" w:after="0" w:afterAutospacing="0" w:line="240" w:lineRule="auto"/>
              <w:rPr>
                <w:sz w:val="20"/>
                <w:szCs w:val="20"/>
              </w:rPr>
            </w:pPr>
            <w:proofErr w:type="spellStart"/>
            <w:r>
              <w:rPr>
                <w:b/>
                <w:bCs/>
                <w:sz w:val="20"/>
                <w:szCs w:val="20"/>
              </w:rPr>
              <w:t>Neurastenia</w:t>
            </w:r>
            <w:proofErr w:type="spellEnd"/>
          </w:p>
        </w:tc>
        <w:tc>
          <w:tcPr>
            <w:tcW w:w="0" w:type="auto"/>
          </w:tcPr>
          <w:p w14:paraId="401DB955" w14:textId="77777777" w:rsidR="0003312E" w:rsidRDefault="00000000">
            <w:pPr>
              <w:pStyle w:val="NormalWeb"/>
              <w:shd w:val="clear" w:color="auto" w:fill="FFFFFF"/>
              <w:spacing w:beforeAutospacing="0" w:after="0" w:afterAutospacing="0" w:line="240" w:lineRule="auto"/>
              <w:rPr>
                <w:sz w:val="20"/>
                <w:szCs w:val="20"/>
              </w:rPr>
            </w:pPr>
            <w:r>
              <w:rPr>
                <w:sz w:val="20"/>
                <w:szCs w:val="20"/>
              </w:rPr>
              <w:t>George Miller Beard</w:t>
            </w:r>
          </w:p>
        </w:tc>
        <w:tc>
          <w:tcPr>
            <w:tcW w:w="0" w:type="auto"/>
          </w:tcPr>
          <w:p w14:paraId="4F5BCE0A" w14:textId="77777777" w:rsidR="0003312E" w:rsidRDefault="00000000">
            <w:pPr>
              <w:pStyle w:val="NormalWeb"/>
              <w:shd w:val="clear" w:color="auto" w:fill="FFFFFF"/>
              <w:spacing w:beforeAutospacing="0" w:after="0" w:afterAutospacing="0" w:line="240" w:lineRule="auto"/>
              <w:rPr>
                <w:sz w:val="20"/>
                <w:szCs w:val="20"/>
              </w:rPr>
            </w:pPr>
            <w:proofErr w:type="gramStart"/>
            <w:r>
              <w:rPr>
                <w:sz w:val="20"/>
                <w:szCs w:val="20"/>
              </w:rPr>
              <w:t>A</w:t>
            </w:r>
            <w:proofErr w:type="gramEnd"/>
            <w:r>
              <w:rPr>
                <w:sz w:val="20"/>
                <w:szCs w:val="20"/>
              </w:rPr>
              <w:t xml:space="preserve"> Era do </w:t>
            </w:r>
            <w:proofErr w:type="spellStart"/>
            <w:r>
              <w:rPr>
                <w:sz w:val="20"/>
                <w:szCs w:val="20"/>
              </w:rPr>
              <w:t>Excesso</w:t>
            </w:r>
            <w:proofErr w:type="spellEnd"/>
          </w:p>
        </w:tc>
        <w:tc>
          <w:tcPr>
            <w:tcW w:w="0" w:type="auto"/>
          </w:tcPr>
          <w:p w14:paraId="0FFC3F82" w14:textId="77777777" w:rsidR="0003312E" w:rsidRDefault="00000000">
            <w:pPr>
              <w:pStyle w:val="NormalWeb"/>
              <w:shd w:val="clear" w:color="auto" w:fill="FFFFFF"/>
              <w:spacing w:beforeAutospacing="0" w:after="0" w:afterAutospacing="0" w:line="240" w:lineRule="auto"/>
              <w:rPr>
                <w:sz w:val="20"/>
                <w:szCs w:val="20"/>
                <w:lang w:val="pt-BR"/>
              </w:rPr>
            </w:pPr>
            <w:r>
              <w:rPr>
                <w:sz w:val="20"/>
                <w:szCs w:val="20"/>
                <w:lang w:val="pt-BR"/>
              </w:rPr>
              <w:t>Grego </w:t>
            </w:r>
            <w:proofErr w:type="spellStart"/>
            <w:r>
              <w:rPr>
                <w:i/>
                <w:iCs/>
                <w:sz w:val="20"/>
                <w:szCs w:val="20"/>
                <w:lang w:val="pt-BR"/>
              </w:rPr>
              <w:t>neûron</w:t>
            </w:r>
            <w:proofErr w:type="spellEnd"/>
            <w:r>
              <w:rPr>
                <w:sz w:val="20"/>
                <w:szCs w:val="20"/>
                <w:lang w:val="pt-BR"/>
              </w:rPr>
              <w:t> (nervo) + </w:t>
            </w:r>
            <w:proofErr w:type="spellStart"/>
            <w:r>
              <w:rPr>
                <w:i/>
                <w:iCs/>
                <w:sz w:val="20"/>
                <w:szCs w:val="20"/>
                <w:lang w:val="pt-BR"/>
              </w:rPr>
              <w:t>asthéneia</w:t>
            </w:r>
            <w:proofErr w:type="spellEnd"/>
            <w:r>
              <w:rPr>
                <w:sz w:val="20"/>
                <w:szCs w:val="20"/>
                <w:lang w:val="pt-BR"/>
              </w:rPr>
              <w:t> (fraqueza)</w:t>
            </w:r>
          </w:p>
        </w:tc>
      </w:tr>
      <w:tr w:rsidR="0003312E" w14:paraId="1B3B9C1E" w14:textId="77777777">
        <w:tc>
          <w:tcPr>
            <w:tcW w:w="0" w:type="auto"/>
          </w:tcPr>
          <w:p w14:paraId="0905AC7C" w14:textId="77777777" w:rsidR="0003312E" w:rsidRDefault="00000000">
            <w:pPr>
              <w:pStyle w:val="NormalWeb"/>
              <w:shd w:val="clear" w:color="auto" w:fill="FFFFFF"/>
              <w:spacing w:beforeAutospacing="0" w:after="0" w:afterAutospacing="0" w:line="240" w:lineRule="auto"/>
              <w:rPr>
                <w:sz w:val="20"/>
                <w:szCs w:val="20"/>
              </w:rPr>
            </w:pPr>
            <w:proofErr w:type="spellStart"/>
            <w:r>
              <w:rPr>
                <w:b/>
                <w:bCs/>
                <w:sz w:val="20"/>
                <w:szCs w:val="20"/>
              </w:rPr>
              <w:t>Ansiedade</w:t>
            </w:r>
            <w:proofErr w:type="spellEnd"/>
          </w:p>
        </w:tc>
        <w:tc>
          <w:tcPr>
            <w:tcW w:w="0" w:type="auto"/>
          </w:tcPr>
          <w:p w14:paraId="39B6BC5B" w14:textId="77777777" w:rsidR="0003312E" w:rsidRDefault="00000000">
            <w:pPr>
              <w:pStyle w:val="NormalWeb"/>
              <w:shd w:val="clear" w:color="auto" w:fill="FFFFFF"/>
              <w:spacing w:beforeAutospacing="0" w:after="0" w:afterAutospacing="0" w:line="240" w:lineRule="auto"/>
              <w:rPr>
                <w:sz w:val="20"/>
                <w:szCs w:val="20"/>
              </w:rPr>
            </w:pPr>
            <w:r>
              <w:rPr>
                <w:sz w:val="20"/>
                <w:szCs w:val="20"/>
              </w:rPr>
              <w:t>Søren Kierkegaard</w:t>
            </w:r>
          </w:p>
        </w:tc>
        <w:tc>
          <w:tcPr>
            <w:tcW w:w="0" w:type="auto"/>
          </w:tcPr>
          <w:p w14:paraId="3264C873" w14:textId="77777777" w:rsidR="0003312E" w:rsidRDefault="00000000">
            <w:pPr>
              <w:pStyle w:val="NormalWeb"/>
              <w:shd w:val="clear" w:color="auto" w:fill="FFFFFF"/>
              <w:spacing w:beforeAutospacing="0" w:after="0" w:afterAutospacing="0" w:line="240" w:lineRule="auto"/>
              <w:rPr>
                <w:sz w:val="20"/>
                <w:szCs w:val="20"/>
                <w:lang w:val="pt-BR"/>
              </w:rPr>
            </w:pPr>
            <w:r>
              <w:rPr>
                <w:sz w:val="20"/>
                <w:szCs w:val="20"/>
                <w:lang w:val="pt-BR"/>
              </w:rPr>
              <w:t>O Aperto que Molda a Existência</w:t>
            </w:r>
          </w:p>
        </w:tc>
        <w:tc>
          <w:tcPr>
            <w:tcW w:w="0" w:type="auto"/>
          </w:tcPr>
          <w:p w14:paraId="5F6AB200" w14:textId="77777777" w:rsidR="0003312E" w:rsidRDefault="00000000">
            <w:pPr>
              <w:pStyle w:val="NormalWeb"/>
              <w:shd w:val="clear" w:color="auto" w:fill="FFFFFF"/>
              <w:spacing w:beforeAutospacing="0" w:after="0" w:afterAutospacing="0" w:line="240" w:lineRule="auto"/>
              <w:rPr>
                <w:sz w:val="20"/>
                <w:szCs w:val="20"/>
              </w:rPr>
            </w:pPr>
            <w:r>
              <w:rPr>
                <w:sz w:val="20"/>
                <w:szCs w:val="20"/>
              </w:rPr>
              <w:t>Latim </w:t>
            </w:r>
            <w:proofErr w:type="spellStart"/>
            <w:r>
              <w:rPr>
                <w:i/>
                <w:iCs/>
                <w:sz w:val="20"/>
                <w:szCs w:val="20"/>
              </w:rPr>
              <w:t>anxietas</w:t>
            </w:r>
            <w:proofErr w:type="spellEnd"/>
            <w:r>
              <w:rPr>
                <w:sz w:val="20"/>
                <w:szCs w:val="20"/>
              </w:rPr>
              <w:t> (</w:t>
            </w:r>
            <w:proofErr w:type="spellStart"/>
            <w:r>
              <w:rPr>
                <w:sz w:val="20"/>
                <w:szCs w:val="20"/>
              </w:rPr>
              <w:t>apertar</w:t>
            </w:r>
            <w:proofErr w:type="spellEnd"/>
            <w:r>
              <w:rPr>
                <w:sz w:val="20"/>
                <w:szCs w:val="20"/>
              </w:rPr>
              <w:t>)</w:t>
            </w:r>
          </w:p>
        </w:tc>
      </w:tr>
      <w:tr w:rsidR="0003312E" w14:paraId="1CD594BD" w14:textId="77777777">
        <w:tc>
          <w:tcPr>
            <w:tcW w:w="0" w:type="auto"/>
          </w:tcPr>
          <w:p w14:paraId="58E0F6E0" w14:textId="77777777" w:rsidR="0003312E" w:rsidRDefault="00000000">
            <w:pPr>
              <w:pStyle w:val="NormalWeb"/>
              <w:shd w:val="clear" w:color="auto" w:fill="FFFFFF"/>
              <w:spacing w:beforeAutospacing="0" w:after="0" w:afterAutospacing="0" w:line="240" w:lineRule="auto"/>
              <w:rPr>
                <w:sz w:val="20"/>
                <w:szCs w:val="20"/>
              </w:rPr>
            </w:pPr>
            <w:r>
              <w:rPr>
                <w:b/>
                <w:bCs/>
                <w:sz w:val="20"/>
                <w:szCs w:val="20"/>
              </w:rPr>
              <w:t>Eutimia</w:t>
            </w:r>
          </w:p>
        </w:tc>
        <w:tc>
          <w:tcPr>
            <w:tcW w:w="0" w:type="auto"/>
          </w:tcPr>
          <w:p w14:paraId="496BD042" w14:textId="77777777" w:rsidR="0003312E" w:rsidRDefault="00000000">
            <w:pPr>
              <w:pStyle w:val="NormalWeb"/>
              <w:shd w:val="clear" w:color="auto" w:fill="FFFFFF"/>
              <w:spacing w:beforeAutospacing="0" w:after="0" w:afterAutospacing="0" w:line="240" w:lineRule="auto"/>
              <w:rPr>
                <w:sz w:val="20"/>
                <w:szCs w:val="20"/>
              </w:rPr>
            </w:pPr>
            <w:proofErr w:type="spellStart"/>
            <w:r>
              <w:rPr>
                <w:sz w:val="20"/>
                <w:szCs w:val="20"/>
              </w:rPr>
              <w:t>Demócrito</w:t>
            </w:r>
            <w:proofErr w:type="spellEnd"/>
          </w:p>
        </w:tc>
        <w:tc>
          <w:tcPr>
            <w:tcW w:w="0" w:type="auto"/>
          </w:tcPr>
          <w:p w14:paraId="4821487F" w14:textId="77777777" w:rsidR="0003312E" w:rsidRDefault="00000000">
            <w:pPr>
              <w:pStyle w:val="NormalWeb"/>
              <w:shd w:val="clear" w:color="auto" w:fill="FFFFFF"/>
              <w:spacing w:beforeAutospacing="0" w:after="0" w:afterAutospacing="0" w:line="240" w:lineRule="auto"/>
              <w:rPr>
                <w:sz w:val="20"/>
                <w:szCs w:val="20"/>
              </w:rPr>
            </w:pPr>
            <w:r>
              <w:rPr>
                <w:sz w:val="20"/>
                <w:szCs w:val="20"/>
              </w:rPr>
              <w:t xml:space="preserve">O Horizonte da </w:t>
            </w:r>
            <w:proofErr w:type="spellStart"/>
            <w:r>
              <w:rPr>
                <w:sz w:val="20"/>
                <w:szCs w:val="20"/>
              </w:rPr>
              <w:t>Serenidade</w:t>
            </w:r>
            <w:proofErr w:type="spellEnd"/>
          </w:p>
        </w:tc>
        <w:tc>
          <w:tcPr>
            <w:tcW w:w="0" w:type="auto"/>
          </w:tcPr>
          <w:p w14:paraId="3FE705C8" w14:textId="77777777" w:rsidR="0003312E" w:rsidRDefault="00000000">
            <w:pPr>
              <w:pStyle w:val="NormalWeb"/>
              <w:shd w:val="clear" w:color="auto" w:fill="FFFFFF"/>
              <w:spacing w:beforeAutospacing="0" w:after="0" w:afterAutospacing="0" w:line="240" w:lineRule="auto"/>
              <w:rPr>
                <w:sz w:val="20"/>
                <w:szCs w:val="20"/>
                <w:lang w:val="pt-BR"/>
              </w:rPr>
            </w:pPr>
            <w:r>
              <w:rPr>
                <w:sz w:val="20"/>
                <w:szCs w:val="20"/>
                <w:lang w:val="pt-BR"/>
              </w:rPr>
              <w:t>Grego </w:t>
            </w:r>
            <w:r>
              <w:rPr>
                <w:i/>
                <w:iCs/>
                <w:sz w:val="20"/>
                <w:szCs w:val="20"/>
                <w:lang w:val="pt-BR"/>
              </w:rPr>
              <w:t>eu</w:t>
            </w:r>
            <w:r>
              <w:rPr>
                <w:sz w:val="20"/>
                <w:szCs w:val="20"/>
                <w:lang w:val="pt-BR"/>
              </w:rPr>
              <w:t> (bom, harmonia) + </w:t>
            </w:r>
            <w:proofErr w:type="spellStart"/>
            <w:r>
              <w:rPr>
                <w:i/>
                <w:iCs/>
                <w:sz w:val="20"/>
                <w:szCs w:val="20"/>
                <w:lang w:val="pt-BR"/>
              </w:rPr>
              <w:t>thymós</w:t>
            </w:r>
            <w:proofErr w:type="spellEnd"/>
            <w:r>
              <w:rPr>
                <w:sz w:val="20"/>
                <w:szCs w:val="20"/>
                <w:lang w:val="pt-BR"/>
              </w:rPr>
              <w:t> (ânimo, alma)</w:t>
            </w:r>
          </w:p>
        </w:tc>
      </w:tr>
    </w:tbl>
    <w:p w14:paraId="48B7CA49" w14:textId="77777777" w:rsidR="0003312E" w:rsidRDefault="0003312E">
      <w:pPr>
        <w:pStyle w:val="NormalWeb"/>
        <w:spacing w:beforeAutospacing="0" w:after="0" w:afterAutospacing="0" w:line="360" w:lineRule="auto"/>
        <w:ind w:firstLine="709"/>
        <w:jc w:val="both"/>
        <w:rPr>
          <w:sz w:val="24"/>
          <w:lang w:val="pt-BR"/>
        </w:rPr>
      </w:pPr>
    </w:p>
    <w:p w14:paraId="4DD83221" w14:textId="77777777" w:rsidR="0003312E" w:rsidRDefault="00000000">
      <w:pPr>
        <w:pStyle w:val="NormalWeb"/>
        <w:spacing w:beforeAutospacing="0" w:after="0" w:afterAutospacing="0" w:line="360" w:lineRule="auto"/>
        <w:ind w:firstLine="709"/>
        <w:jc w:val="both"/>
        <w:rPr>
          <w:sz w:val="24"/>
          <w:lang w:val="pt-BR"/>
        </w:rPr>
      </w:pPr>
      <w:r>
        <w:rPr>
          <w:sz w:val="24"/>
          <w:lang w:val="pt-BR"/>
        </w:rPr>
        <w:t>Estes termos foram escolhidos por representarem estados liminares, experiências que ultrapassam o campo clínico para se tornarem arquétipos culturais. Habitam as fronteiras entre normalidade e patologia, entre razão e desrazão, entre corpo e metáfora. Cada um é um espelho do humano, e juntos compõem uma arqueologia dos modos de habitar a consciência.</w:t>
      </w:r>
    </w:p>
    <w:p w14:paraId="7A07ED22" w14:textId="77777777" w:rsidR="0003312E" w:rsidRDefault="00000000">
      <w:pPr>
        <w:pStyle w:val="NormalWeb"/>
        <w:spacing w:beforeAutospacing="0" w:after="0" w:afterAutospacing="0" w:line="360" w:lineRule="auto"/>
        <w:ind w:firstLine="709"/>
        <w:jc w:val="both"/>
        <w:rPr>
          <w:sz w:val="24"/>
          <w:lang w:val="pt-BR"/>
        </w:rPr>
      </w:pPr>
      <w:r>
        <w:rPr>
          <w:sz w:val="24"/>
          <w:lang w:val="pt-BR"/>
        </w:rPr>
        <w:t>Eles foram reunidos porque transcendem diagnósticos atuais, não cabendo nos códigos da CID ou do DSM; são constelações de sentido que atravessam tradições. Encarnam fronteiras ontológicas, como o coma entre vida e morte ou a hipnose entre vigília e sono. Expõem conflitos históricos, como a histeria como palco de poder médico sobre o corpo feminino. E persistem como metáforas ativas, imagens que não cessam de moldar o imaginário, como o delírio de Van Gogh ou a melancolia subterrânea de Burton.</w:t>
      </w:r>
    </w:p>
    <w:p w14:paraId="1D2126B1" w14:textId="77777777" w:rsidR="0003312E" w:rsidRDefault="00000000">
      <w:pPr>
        <w:pStyle w:val="NormalWeb"/>
        <w:spacing w:beforeAutospacing="0" w:after="0" w:afterAutospacing="0" w:line="360" w:lineRule="auto"/>
        <w:ind w:firstLine="709"/>
        <w:jc w:val="both"/>
        <w:rPr>
          <w:sz w:val="24"/>
          <w:lang w:val="pt-BR"/>
        </w:rPr>
      </w:pPr>
      <w:r>
        <w:rPr>
          <w:sz w:val="24"/>
          <w:lang w:val="pt-BR"/>
        </w:rPr>
        <w:t>Mas há ainda um termo ausente na tabela, mas que constitui um outro volume, e que, paradoxalmente, está em todas as suas páginas: Ilusão. Não constitui um capítulo próprio, mas é o livro invisível dentro do livro, o chão comum de onde todos os outros brotam. A ilusão é o tear da percepção, o mecanismo primordial que costura o que ousamos chamar de “realidade”. Neste contexto, 'ilusão' não se refere apenas a uma distorção perceptual pontual, mas à própria natureza construída e interpretativa da nossa experiência do real. Este livro em tela propõe, portanto, um exercício intelectual radical: e se a mente não fosse um órgão a ser decifrado, mas um ecossistema de ilusões necessárias, fiadas pela cultura, pela neurobiologia e pelo tempo? A melancolia como ilusão do tempo. O frenesi como ilusão de poder. A ansiedade como ilusão de controle. A eutimia como ilusão de equilíbrio, sempre precário, mas vital.</w:t>
      </w:r>
    </w:p>
    <w:p w14:paraId="1BD6192A" w14:textId="77777777" w:rsidR="0003312E" w:rsidRDefault="00000000">
      <w:pPr>
        <w:pStyle w:val="NormalWeb"/>
        <w:spacing w:beforeAutospacing="0" w:after="0" w:afterAutospacing="0" w:line="360" w:lineRule="auto"/>
        <w:ind w:firstLine="709"/>
        <w:jc w:val="both"/>
        <w:rPr>
          <w:sz w:val="24"/>
          <w:lang w:val="pt-BR"/>
        </w:rPr>
      </w:pPr>
      <w:r>
        <w:rPr>
          <w:sz w:val="24"/>
          <w:lang w:val="pt-BR"/>
        </w:rPr>
        <w:lastRenderedPageBreak/>
        <w:t>O que sobra de sólido? Talvez apenas esta possibilidade: abrir os olhos dentro da própria ilusão. Não para dela escapar - tarefa impossível -, mas para habitá-la com plena consciência. Pois a lucidez não é ausência de ilusões, mas a única ilusão sofisticada o bastante para iluminar todas as outras.</w:t>
      </w:r>
    </w:p>
    <w:p w14:paraId="7F9010F5" w14:textId="77777777" w:rsidR="0003312E" w:rsidRDefault="0003312E">
      <w:pPr>
        <w:pStyle w:val="NormalWeb"/>
        <w:spacing w:beforeAutospacing="0" w:after="0" w:afterAutospacing="0" w:line="360" w:lineRule="auto"/>
        <w:ind w:firstLine="709"/>
        <w:jc w:val="both"/>
        <w:rPr>
          <w:b/>
          <w:bCs/>
          <w:sz w:val="24"/>
          <w:lang w:val="pt-BR"/>
        </w:rPr>
      </w:pPr>
    </w:p>
    <w:p w14:paraId="54E789C1" w14:textId="77777777" w:rsidR="0003312E" w:rsidRDefault="00000000">
      <w:pPr>
        <w:pStyle w:val="NormalWeb"/>
        <w:shd w:val="clear" w:color="auto" w:fill="FFFFFF"/>
        <w:spacing w:beforeAutospacing="0" w:after="0" w:afterAutospacing="0" w:line="360" w:lineRule="auto"/>
        <w:ind w:firstLine="709"/>
        <w:jc w:val="both"/>
        <w:rPr>
          <w:sz w:val="24"/>
          <w:lang w:val="pt-BR"/>
        </w:rPr>
      </w:pPr>
      <w:r>
        <w:rPr>
          <w:b/>
          <w:bCs/>
          <w:sz w:val="24"/>
          <w:lang w:val="pt-BR"/>
        </w:rPr>
        <w:t>Transição para o Próximo Capítulo: Da Vigília aos Estados de Consciência</w:t>
      </w:r>
    </w:p>
    <w:p w14:paraId="519C899A" w14:textId="77777777" w:rsidR="0003312E" w:rsidRDefault="00000000">
      <w:pPr>
        <w:pStyle w:val="NormalWeb"/>
        <w:shd w:val="clear" w:color="auto" w:fill="FFFFFF"/>
        <w:spacing w:beforeAutospacing="0" w:after="0" w:afterAutospacing="0" w:line="360" w:lineRule="auto"/>
        <w:ind w:firstLine="709"/>
        <w:jc w:val="both"/>
        <w:rPr>
          <w:sz w:val="24"/>
          <w:lang w:val="pt-BR"/>
        </w:rPr>
      </w:pPr>
      <w:r>
        <w:rPr>
          <w:sz w:val="24"/>
          <w:lang w:val="pt-BR"/>
        </w:rPr>
        <w:t xml:space="preserve">Este capítulo fundacional revelou como a </w:t>
      </w:r>
      <w:proofErr w:type="spellStart"/>
      <w:r>
        <w:rPr>
          <w:sz w:val="24"/>
          <w:lang w:val="pt-BR"/>
        </w:rPr>
        <w:t>neuroetimologia</w:t>
      </w:r>
      <w:proofErr w:type="spellEnd"/>
      <w:r>
        <w:rPr>
          <w:sz w:val="24"/>
          <w:lang w:val="pt-BR"/>
        </w:rPr>
        <w:t xml:space="preserve"> funciona como uma bússola conceitual, capaz de mapear não apenas o passado das palavras, mas os caminhos pelos quais elas moldam nossa cognição. As figuras que ilustram esta obra - das redes neuronais entrelaçadas às representações de Isidoro de Sevilha - não são meras ilustrações. São portais visuais que traduzem a densidade simbólica da linguagem, lembrando-nos de que a medicina, além de ciência, é também tecido narrativo, memória cultural e exercício de imaginação.</w:t>
      </w:r>
    </w:p>
    <w:p w14:paraId="7D57C6A3" w14:textId="77777777" w:rsidR="0003312E" w:rsidRDefault="00000000">
      <w:pPr>
        <w:pStyle w:val="NormalWeb"/>
        <w:shd w:val="clear" w:color="auto" w:fill="FFFFFF"/>
        <w:spacing w:beforeAutospacing="0" w:after="0" w:afterAutospacing="0" w:line="360" w:lineRule="auto"/>
        <w:ind w:firstLine="709"/>
        <w:jc w:val="both"/>
        <w:rPr>
          <w:sz w:val="24"/>
          <w:lang w:val="pt-BR"/>
        </w:rPr>
      </w:pPr>
      <w:r>
        <w:rPr>
          <w:sz w:val="24"/>
          <w:lang w:val="pt-BR"/>
        </w:rPr>
        <w:t xml:space="preserve">Agora, equipados com as ferramentas para decifrar a arquitetura oculta das palavras, avançamos para um território onde a consciência se desdobra em estados além da vigília. Não é o sono que nos aguarda no próximo capítulo, mas a hipnose - um fenômeno que desafia as fronteiras entre percepção, sugestão e realidade. Em "Hipnose: O Espelho da Consciência", acompanharemos James </w:t>
      </w:r>
      <w:proofErr w:type="spellStart"/>
      <w:r>
        <w:rPr>
          <w:sz w:val="24"/>
          <w:lang w:val="pt-BR"/>
        </w:rPr>
        <w:t>Braid</w:t>
      </w:r>
      <w:proofErr w:type="spellEnd"/>
      <w:r>
        <w:rPr>
          <w:sz w:val="24"/>
          <w:lang w:val="pt-BR"/>
        </w:rPr>
        <w:t xml:space="preserve"> em sua redescoberta do </w:t>
      </w:r>
      <w:proofErr w:type="spellStart"/>
      <w:r>
        <w:rPr>
          <w:i/>
          <w:iCs/>
          <w:sz w:val="24"/>
          <w:lang w:val="pt-BR"/>
        </w:rPr>
        <w:t>hypnos</w:t>
      </w:r>
      <w:proofErr w:type="spellEnd"/>
      <w:r>
        <w:rPr>
          <w:sz w:val="24"/>
          <w:lang w:val="pt-BR"/>
        </w:rPr>
        <w:t> (ὕπ</w:t>
      </w:r>
      <w:proofErr w:type="spellStart"/>
      <w:r>
        <w:rPr>
          <w:sz w:val="24"/>
          <w:lang w:val="pt-BR"/>
        </w:rPr>
        <w:t>νος</w:t>
      </w:r>
      <w:proofErr w:type="spellEnd"/>
      <w:r>
        <w:rPr>
          <w:sz w:val="24"/>
          <w:lang w:val="pt-BR"/>
        </w:rPr>
        <w:t>) grego, não como mero sono, mas como um estado liminar onde a mente revela suas camadas mais plásticas. Preparemo-nos, portanto, para adentrar este primeiro portal. Decifrar a hipnose é decifrar como a linguagem - e aqueles que a modulam - podem reconfigurar temporariamente os circuitos da percepção. Se as palavras são fósseis de poesia, a hipnose é o momento em que esses fósseis ganham vida, dançando no limiar entre ciência e encanto. A viagem continua - não pelo país dos sonhos, mas pelo território onde a mente se deixa guiar por vozes, símbolos e sugestões.</w:t>
      </w:r>
    </w:p>
    <w:p w14:paraId="2B6C586C" w14:textId="77777777" w:rsidR="0003312E" w:rsidRDefault="00000000">
      <w:pPr>
        <w:rPr>
          <w:sz w:val="24"/>
        </w:rPr>
      </w:pPr>
      <w:r>
        <w:rPr>
          <w:sz w:val="24"/>
        </w:rPr>
        <w:br w:type="page"/>
      </w:r>
    </w:p>
    <w:p w14:paraId="7688EECA" w14:textId="77777777" w:rsidR="0003312E" w:rsidRDefault="00000000">
      <w:pPr>
        <w:pStyle w:val="Style43"/>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窗体底端</w:t>
      </w:r>
    </w:p>
    <w:tbl>
      <w:tblPr>
        <w:tblStyle w:val="Tabelacomgrade"/>
        <w:tblW w:w="9214" w:type="dxa"/>
        <w:tblInd w:w="0" w:type="dxa"/>
        <w:tblLayout w:type="fixed"/>
        <w:tblCellMar>
          <w:top w:w="15" w:type="dxa"/>
          <w:left w:w="15" w:type="dxa"/>
          <w:bottom w:w="15" w:type="dxa"/>
          <w:right w:w="15" w:type="dxa"/>
        </w:tblCellMar>
        <w:tblLook w:val="04A0" w:firstRow="1" w:lastRow="0" w:firstColumn="1" w:lastColumn="0" w:noHBand="0" w:noVBand="1"/>
      </w:tblPr>
      <w:tblGrid>
        <w:gridCol w:w="4711"/>
        <w:gridCol w:w="4503"/>
      </w:tblGrid>
      <w:tr w:rsidR="0003312E" w14:paraId="1E417E9F" w14:textId="77777777">
        <w:trPr>
          <w:trHeight w:val="465"/>
        </w:trPr>
        <w:tc>
          <w:tcPr>
            <w:tcW w:w="9214" w:type="dxa"/>
            <w:gridSpan w:val="2"/>
            <w:tcBorders>
              <w:top w:val="nil"/>
              <w:left w:val="single" w:sz="4" w:space="0" w:color="auto"/>
              <w:bottom w:val="single" w:sz="4" w:space="0" w:color="auto"/>
              <w:right w:val="nil"/>
            </w:tcBorders>
          </w:tcPr>
          <w:p w14:paraId="7E3DA720" w14:textId="77777777" w:rsidR="0003312E" w:rsidRDefault="00000000">
            <w:pPr>
              <w:spacing w:after="0" w:line="240" w:lineRule="auto"/>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Capítulo 1. </w:t>
            </w:r>
            <w:r>
              <w:rPr>
                <w:rFonts w:ascii="Times New Roman" w:eastAsiaTheme="majorEastAsia" w:hAnsi="Times New Roman" w:cs="Times New Roman"/>
                <w:b/>
                <w:bCs/>
                <w:sz w:val="24"/>
                <w:szCs w:val="24"/>
              </w:rPr>
              <w:t xml:space="preserve">Hipnose: Do Deus </w:t>
            </w:r>
            <w:proofErr w:type="spellStart"/>
            <w:r>
              <w:rPr>
                <w:rFonts w:ascii="Times New Roman" w:eastAsiaTheme="majorEastAsia" w:hAnsi="Times New Roman" w:cs="Times New Roman"/>
                <w:b/>
                <w:bCs/>
                <w:sz w:val="24"/>
                <w:szCs w:val="24"/>
              </w:rPr>
              <w:t>Hypnos</w:t>
            </w:r>
            <w:proofErr w:type="spellEnd"/>
            <w:r>
              <w:rPr>
                <w:rFonts w:ascii="Times New Roman" w:eastAsiaTheme="majorEastAsia" w:hAnsi="Times New Roman" w:cs="Times New Roman"/>
                <w:b/>
                <w:bCs/>
                <w:sz w:val="24"/>
                <w:szCs w:val="24"/>
              </w:rPr>
              <w:t xml:space="preserve"> à Neurociência da Atenção</w:t>
            </w:r>
          </w:p>
        </w:tc>
      </w:tr>
      <w:tr w:rsidR="0003312E" w14:paraId="384D2CB8" w14:textId="77777777">
        <w:trPr>
          <w:trHeight w:val="2499"/>
        </w:trPr>
        <w:tc>
          <w:tcPr>
            <w:tcW w:w="4711" w:type="dxa"/>
            <w:tcBorders>
              <w:top w:val="single" w:sz="4" w:space="0" w:color="auto"/>
              <w:left w:val="nil"/>
              <w:bottom w:val="nil"/>
              <w:right w:val="nil"/>
            </w:tcBorders>
          </w:tcPr>
          <w:p w14:paraId="51A36750" w14:textId="77777777" w:rsidR="0003312E" w:rsidRDefault="00000000">
            <w:pPr>
              <w:spacing w:after="0" w:line="240" w:lineRule="auto"/>
              <w:jc w:val="center"/>
              <w:rPr>
                <w:rStyle w:val="15"/>
                <w:rFonts w:eastAsia="Garamond"/>
                <w:b w:val="0"/>
                <w:bCs w:val="0"/>
                <w:sz w:val="24"/>
                <w:szCs w:val="24"/>
              </w:rPr>
            </w:pPr>
            <w:r>
              <w:rPr>
                <w:rFonts w:ascii="Times New Roman" w:hAnsi="Times New Roman" w:cs="Times New Roman"/>
                <w:noProof/>
                <w:sz w:val="24"/>
                <w:szCs w:val="24"/>
              </w:rPr>
              <w:drawing>
                <wp:inline distT="0" distB="0" distL="0" distR="0" wp14:anchorId="6D3AABCE" wp14:editId="7EDE01EE">
                  <wp:extent cx="1638300" cy="1470660"/>
                  <wp:effectExtent l="0" t="0" r="0" b="0"/>
                  <wp:docPr id="580059794"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059794" name="Imagem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638300" cy="1470660"/>
                          </a:xfrm>
                          <a:prstGeom prst="rect">
                            <a:avLst/>
                          </a:prstGeom>
                          <a:noFill/>
                          <a:ln>
                            <a:noFill/>
                          </a:ln>
                        </pic:spPr>
                      </pic:pic>
                    </a:graphicData>
                  </a:graphic>
                </wp:inline>
              </w:drawing>
            </w:r>
          </w:p>
        </w:tc>
        <w:tc>
          <w:tcPr>
            <w:tcW w:w="4503" w:type="dxa"/>
            <w:tcBorders>
              <w:top w:val="single" w:sz="4" w:space="0" w:color="auto"/>
              <w:left w:val="nil"/>
              <w:bottom w:val="nil"/>
              <w:right w:val="nil"/>
            </w:tcBorders>
          </w:tcPr>
          <w:p w14:paraId="04BF41D5" w14:textId="77777777" w:rsidR="0003312E" w:rsidRDefault="00000000">
            <w:pPr>
              <w:spacing w:after="0" w:line="240" w:lineRule="auto"/>
              <w:jc w:val="center"/>
              <w:rPr>
                <w:rStyle w:val="15"/>
                <w:rFonts w:eastAsia="Garamond"/>
                <w:b w:val="0"/>
                <w:bCs w:val="0"/>
                <w:sz w:val="24"/>
                <w:szCs w:val="24"/>
              </w:rPr>
            </w:pPr>
            <w:r>
              <w:rPr>
                <w:rFonts w:ascii="Times New Roman" w:eastAsia="SimSun" w:hAnsi="Times New Roman" w:cs="Times New Roman"/>
                <w:noProof/>
                <w:sz w:val="24"/>
                <w:szCs w:val="24"/>
              </w:rPr>
              <w:drawing>
                <wp:inline distT="0" distB="0" distL="0" distR="0" wp14:anchorId="25FD10A8" wp14:editId="7874C6FB">
                  <wp:extent cx="1341120" cy="1478280"/>
                  <wp:effectExtent l="0" t="0" r="0" b="7620"/>
                  <wp:docPr id="109305140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51403" name="Imagem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341120" cy="1478280"/>
                          </a:xfrm>
                          <a:prstGeom prst="rect">
                            <a:avLst/>
                          </a:prstGeom>
                          <a:noFill/>
                          <a:ln>
                            <a:noFill/>
                          </a:ln>
                        </pic:spPr>
                      </pic:pic>
                    </a:graphicData>
                  </a:graphic>
                </wp:inline>
              </w:drawing>
            </w:r>
          </w:p>
        </w:tc>
      </w:tr>
      <w:tr w:rsidR="0003312E" w14:paraId="45BC35EB" w14:textId="77777777">
        <w:trPr>
          <w:trHeight w:val="613"/>
        </w:trPr>
        <w:tc>
          <w:tcPr>
            <w:tcW w:w="4711" w:type="dxa"/>
            <w:tcBorders>
              <w:top w:val="nil"/>
              <w:left w:val="nil"/>
              <w:bottom w:val="nil"/>
              <w:right w:val="nil"/>
            </w:tcBorders>
          </w:tcPr>
          <w:p w14:paraId="03B96C5C" w14:textId="77777777" w:rsidR="0003312E" w:rsidRDefault="00000000">
            <w:pPr>
              <w:spacing w:after="0" w:line="240" w:lineRule="auto"/>
              <w:jc w:val="both"/>
              <w:rPr>
                <w:rStyle w:val="15"/>
                <w:rFonts w:eastAsia="Garamond"/>
                <w:b w:val="0"/>
                <w:bCs w:val="0"/>
                <w:sz w:val="24"/>
                <w:szCs w:val="24"/>
              </w:rPr>
            </w:pPr>
            <w:r>
              <w:rPr>
                <w:rFonts w:ascii="Times New Roman" w:eastAsiaTheme="majorEastAsia" w:hAnsi="Times New Roman" w:cs="Times New Roman"/>
                <w:i/>
                <w:iCs/>
                <w:sz w:val="24"/>
                <w:szCs w:val="24"/>
              </w:rPr>
              <w:t xml:space="preserve">Figura 1.1: </w:t>
            </w:r>
            <w:proofErr w:type="spellStart"/>
            <w:r>
              <w:rPr>
                <w:rFonts w:ascii="Times New Roman" w:eastAsiaTheme="majorEastAsia" w:hAnsi="Times New Roman" w:cs="Times New Roman"/>
                <w:i/>
                <w:iCs/>
                <w:sz w:val="24"/>
                <w:szCs w:val="24"/>
              </w:rPr>
              <w:t>Hypnos</w:t>
            </w:r>
            <w:proofErr w:type="spellEnd"/>
            <w:r>
              <w:rPr>
                <w:rFonts w:ascii="Times New Roman" w:eastAsiaTheme="majorEastAsia" w:hAnsi="Times New Roman" w:cs="Times New Roman"/>
                <w:i/>
                <w:iCs/>
                <w:sz w:val="24"/>
                <w:szCs w:val="24"/>
              </w:rPr>
              <w:t>: O Deus do Sono e o Portal para Outros Estados de Consciência</w:t>
            </w:r>
          </w:p>
        </w:tc>
        <w:tc>
          <w:tcPr>
            <w:tcW w:w="4503" w:type="dxa"/>
            <w:tcBorders>
              <w:top w:val="nil"/>
              <w:left w:val="nil"/>
              <w:bottom w:val="nil"/>
              <w:right w:val="nil"/>
            </w:tcBorders>
          </w:tcPr>
          <w:p w14:paraId="7B7EACE8" w14:textId="77777777" w:rsidR="0003312E" w:rsidRDefault="00000000">
            <w:pPr>
              <w:spacing w:after="0" w:line="240" w:lineRule="auto"/>
              <w:jc w:val="both"/>
              <w:rPr>
                <w:rStyle w:val="15"/>
                <w:rFonts w:eastAsia="Garamond"/>
                <w:b w:val="0"/>
                <w:bCs w:val="0"/>
                <w:sz w:val="24"/>
                <w:szCs w:val="24"/>
              </w:rPr>
            </w:pPr>
            <w:r>
              <w:rPr>
                <w:rFonts w:ascii="Times New Roman" w:eastAsiaTheme="majorEastAsia" w:hAnsi="Times New Roman" w:cs="Times New Roman"/>
                <w:i/>
                <w:iCs/>
                <w:sz w:val="24"/>
                <w:szCs w:val="24"/>
              </w:rPr>
              <w:t xml:space="preserve">Figura 1.2: </w:t>
            </w:r>
            <w:r>
              <w:rPr>
                <w:rStyle w:val="15"/>
                <w:b w:val="0"/>
                <w:bCs w:val="0"/>
                <w:i/>
                <w:iCs/>
                <w:sz w:val="24"/>
                <w:szCs w:val="24"/>
                <w:shd w:val="clear" w:color="auto" w:fill="FFFFFF"/>
              </w:rPr>
              <w:t xml:space="preserve">James </w:t>
            </w:r>
            <w:proofErr w:type="spellStart"/>
            <w:r>
              <w:rPr>
                <w:rStyle w:val="15"/>
                <w:b w:val="0"/>
                <w:bCs w:val="0"/>
                <w:i/>
                <w:iCs/>
                <w:sz w:val="24"/>
                <w:szCs w:val="24"/>
                <w:shd w:val="clear" w:color="auto" w:fill="FFFFFF"/>
              </w:rPr>
              <w:t>Braid</w:t>
            </w:r>
            <w:proofErr w:type="spellEnd"/>
            <w:r>
              <w:rPr>
                <w:rStyle w:val="15"/>
                <w:b w:val="0"/>
                <w:bCs w:val="0"/>
                <w:i/>
                <w:iCs/>
                <w:sz w:val="24"/>
                <w:szCs w:val="24"/>
                <w:shd w:val="clear" w:color="auto" w:fill="FFFFFF"/>
              </w:rPr>
              <w:t xml:space="preserve"> (1795 - 1860):</w:t>
            </w:r>
            <w:r>
              <w:rPr>
                <w:rFonts w:ascii="Times New Roman" w:hAnsi="Times New Roman" w:cs="Times New Roman"/>
                <w:i/>
                <w:iCs/>
                <w:sz w:val="24"/>
                <w:szCs w:val="24"/>
                <w:shd w:val="clear" w:color="auto" w:fill="FFFFFF"/>
              </w:rPr>
              <w:t> </w:t>
            </w:r>
            <w:r>
              <w:rPr>
                <w:rFonts w:ascii="Times New Roman" w:eastAsiaTheme="majorEastAsia" w:hAnsi="Times New Roman" w:cs="Times New Roman"/>
                <w:i/>
                <w:iCs/>
                <w:sz w:val="24"/>
                <w:szCs w:val="24"/>
              </w:rPr>
              <w:t>O Cirurgião que Transformou Sono em Ciência</w:t>
            </w:r>
          </w:p>
        </w:tc>
      </w:tr>
    </w:tbl>
    <w:p w14:paraId="606D591A" w14:textId="77777777" w:rsidR="0003312E" w:rsidRDefault="0003312E">
      <w:pPr>
        <w:spacing w:after="0" w:line="360" w:lineRule="auto"/>
        <w:ind w:firstLine="709"/>
        <w:jc w:val="both"/>
        <w:rPr>
          <w:rFonts w:ascii="Times New Roman" w:eastAsia="Segoe UI" w:hAnsi="Times New Roman" w:cs="Times New Roman"/>
          <w:sz w:val="24"/>
          <w:szCs w:val="24"/>
          <w:shd w:val="clear" w:color="auto" w:fill="FFFFFF"/>
          <w:lang w:eastAsia="zh-CN"/>
        </w:rPr>
      </w:pPr>
    </w:p>
    <w:p w14:paraId="5E002764" w14:textId="77777777" w:rsidR="0003312E" w:rsidRDefault="00000000">
      <w:pPr>
        <w:spacing w:after="0" w:line="360" w:lineRule="auto"/>
        <w:ind w:firstLine="709"/>
        <w:jc w:val="both"/>
        <w:rPr>
          <w:rFonts w:ascii="Times New Roman" w:eastAsia="Segoe UI" w:hAnsi="Times New Roman" w:cs="Times New Roman"/>
          <w:b/>
          <w:bCs/>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Hipnose em Poucas Palavras: Quando a Atenção se Torna um Portal</w:t>
      </w:r>
    </w:p>
    <w:p w14:paraId="46F40537"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 xml:space="preserve">Da sombra do mito grego à luz fria dos scanners cerebrais: a hipnose nos convida a uma jornada singular. Uma jornada para repensar os próprios limites da nossa consciência. Este capítulo narra como um termo inspirado no deus do sono se transformou na chave para entender estados de </w:t>
      </w:r>
      <w:proofErr w:type="spellStart"/>
      <w:r>
        <w:rPr>
          <w:rFonts w:ascii="Times New Roman" w:eastAsia="Segoe UI" w:hAnsi="Times New Roman" w:cs="Times New Roman"/>
          <w:sz w:val="24"/>
          <w:szCs w:val="24"/>
          <w:shd w:val="clear" w:color="auto" w:fill="FFFFFF"/>
          <w:lang w:eastAsia="zh-CN"/>
        </w:rPr>
        <w:t>hiperatenção</w:t>
      </w:r>
      <w:proofErr w:type="spellEnd"/>
      <w:r>
        <w:rPr>
          <w:rFonts w:ascii="Times New Roman" w:eastAsia="Segoe UI" w:hAnsi="Times New Roman" w:cs="Times New Roman"/>
          <w:sz w:val="24"/>
          <w:szCs w:val="24"/>
          <w:shd w:val="clear" w:color="auto" w:fill="FFFFFF"/>
          <w:lang w:eastAsia="zh-CN"/>
        </w:rPr>
        <w:t>, revelando um paradoxo fundamental: o verdadeiro portal para a mente não está no ato de dormir, mas no de focar intensamente.</w:t>
      </w:r>
      <w:r>
        <w:rPr>
          <w:rFonts w:ascii="Times New Roman" w:eastAsia="Segoe UI" w:hAnsi="Times New Roman" w:cs="Times New Roman"/>
          <w:sz w:val="24"/>
          <w:szCs w:val="24"/>
          <w:shd w:val="clear" w:color="auto" w:fill="FFFFFF"/>
          <w:lang w:eastAsia="zh-CN"/>
        </w:rPr>
        <w:br/>
        <w:t xml:space="preserve">Para desvendar esse enigma, percorreremos quatro caminhos entrelaçados. Começamos pela própria palavra "hipnose", resgatada por James </w:t>
      </w:r>
      <w:proofErr w:type="spellStart"/>
      <w:r>
        <w:rPr>
          <w:rFonts w:ascii="Times New Roman" w:eastAsia="Segoe UI" w:hAnsi="Times New Roman" w:cs="Times New Roman"/>
          <w:sz w:val="24"/>
          <w:szCs w:val="24"/>
          <w:shd w:val="clear" w:color="auto" w:fill="FFFFFF"/>
          <w:lang w:eastAsia="zh-CN"/>
        </w:rPr>
        <w:t>Braid</w:t>
      </w:r>
      <w:proofErr w:type="spellEnd"/>
      <w:r>
        <w:rPr>
          <w:rFonts w:ascii="Times New Roman" w:eastAsia="Segoe UI" w:hAnsi="Times New Roman" w:cs="Times New Roman"/>
          <w:sz w:val="24"/>
          <w:szCs w:val="24"/>
          <w:shd w:val="clear" w:color="auto" w:fill="FFFFFF"/>
          <w:lang w:eastAsia="zh-CN"/>
        </w:rPr>
        <w:t xml:space="preserve"> num golpe de genialidade para dar credibilidade científica a um fenômeno milenar. Em seguida, traçamos sua trajetória histórica, que serpenteia dos templos de cura da Grécia Antiga até os consultórios modernos. Depois, adentramos a comprovação neurocientífica, que finalmente revela a arquitetura cerebral por trás desse estado único de concentração. Por fim, exploramos sua dimensão simbólica, que a entende como um portal onde a mente transcende sua experiência comum. São essas quatro dimensões – etimológica, histórico-clínica, neurocientífica e poético-filosófica – que, juntas, tecem uma visão unificada desse estado tão peculiar da mente.</w:t>
      </w:r>
    </w:p>
    <w:p w14:paraId="1A78D950" w14:textId="77777777" w:rsidR="0003312E"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29358CBC" w14:textId="77777777" w:rsidR="0003312E" w:rsidRDefault="00000000">
      <w:pPr>
        <w:spacing w:after="0" w:line="360" w:lineRule="auto"/>
        <w:ind w:firstLine="709"/>
        <w:jc w:val="both"/>
        <w:rPr>
          <w:rFonts w:ascii="Times New Roman" w:eastAsia="Segoe UI" w:hAnsi="Times New Roman" w:cs="Times New Roman"/>
          <w:b/>
          <w:bCs/>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 xml:space="preserve">A Jornada da Palavra: De </w:t>
      </w:r>
      <w:proofErr w:type="spellStart"/>
      <w:r>
        <w:rPr>
          <w:rFonts w:ascii="Times New Roman" w:eastAsia="Segoe UI" w:hAnsi="Times New Roman" w:cs="Times New Roman"/>
          <w:b/>
          <w:bCs/>
          <w:sz w:val="24"/>
          <w:szCs w:val="24"/>
          <w:shd w:val="clear" w:color="auto" w:fill="FFFFFF"/>
          <w:lang w:eastAsia="zh-CN"/>
        </w:rPr>
        <w:t>Hypnos</w:t>
      </w:r>
      <w:proofErr w:type="spellEnd"/>
      <w:r>
        <w:rPr>
          <w:rFonts w:ascii="Times New Roman" w:eastAsia="Segoe UI" w:hAnsi="Times New Roman" w:cs="Times New Roman"/>
          <w:b/>
          <w:bCs/>
          <w:sz w:val="24"/>
          <w:szCs w:val="24"/>
          <w:shd w:val="clear" w:color="auto" w:fill="FFFFFF"/>
          <w:lang w:eastAsia="zh-CN"/>
        </w:rPr>
        <w:t xml:space="preserve"> a </w:t>
      </w:r>
      <w:proofErr w:type="spellStart"/>
      <w:r>
        <w:rPr>
          <w:rFonts w:ascii="Times New Roman" w:eastAsia="Segoe UI" w:hAnsi="Times New Roman" w:cs="Times New Roman"/>
          <w:b/>
          <w:bCs/>
          <w:sz w:val="24"/>
          <w:szCs w:val="24"/>
          <w:shd w:val="clear" w:color="auto" w:fill="FFFFFF"/>
          <w:lang w:eastAsia="zh-CN"/>
        </w:rPr>
        <w:t>Braid</w:t>
      </w:r>
      <w:proofErr w:type="spellEnd"/>
    </w:p>
    <w:p w14:paraId="0664C465"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A história da </w:t>
      </w:r>
      <w:r>
        <w:rPr>
          <w:rFonts w:ascii="Times New Roman" w:eastAsia="Segoe UI" w:hAnsi="Times New Roman" w:cs="Times New Roman"/>
          <w:i/>
          <w:iCs/>
          <w:sz w:val="24"/>
          <w:szCs w:val="24"/>
          <w:shd w:val="clear" w:color="auto" w:fill="FFFFFF"/>
          <w:lang w:eastAsia="zh-CN"/>
        </w:rPr>
        <w:t>palavra</w:t>
      </w:r>
      <w:r>
        <w:rPr>
          <w:rFonts w:ascii="Times New Roman" w:eastAsia="Segoe UI" w:hAnsi="Times New Roman" w:cs="Times New Roman"/>
          <w:sz w:val="24"/>
          <w:szCs w:val="24"/>
          <w:shd w:val="clear" w:color="auto" w:fill="FFFFFF"/>
          <w:lang w:eastAsia="zh-CN"/>
        </w:rPr>
        <w:t> 'hipnose' é um caso paradigmático de como um termo pode nascer de um equívoco e, mesmo assim, abrir caminho para uma revolução científica. Suas raízes mais remotas mergulham na Grécia Antiga, onde </w:t>
      </w:r>
      <w:proofErr w:type="spellStart"/>
      <w:r>
        <w:rPr>
          <w:rFonts w:ascii="Times New Roman" w:eastAsia="Segoe UI" w:hAnsi="Times New Roman" w:cs="Times New Roman"/>
          <w:i/>
          <w:iCs/>
          <w:sz w:val="24"/>
          <w:szCs w:val="24"/>
          <w:shd w:val="clear" w:color="auto" w:fill="FFFFFF"/>
          <w:lang w:eastAsia="zh-CN"/>
        </w:rPr>
        <w:t>hýpnos</w:t>
      </w:r>
      <w:proofErr w:type="spellEnd"/>
      <w:r>
        <w:rPr>
          <w:rFonts w:ascii="Times New Roman" w:eastAsia="Segoe UI" w:hAnsi="Times New Roman" w:cs="Times New Roman"/>
          <w:sz w:val="24"/>
          <w:szCs w:val="24"/>
          <w:shd w:val="clear" w:color="auto" w:fill="FFFFFF"/>
          <w:lang w:eastAsia="zh-CN"/>
        </w:rPr>
        <w:t xml:space="preserve"> não era apenas um estado, mas um deus. </w:t>
      </w:r>
      <w:proofErr w:type="spellStart"/>
      <w:r>
        <w:rPr>
          <w:rFonts w:ascii="Times New Roman" w:eastAsia="Segoe UI" w:hAnsi="Times New Roman" w:cs="Times New Roman"/>
          <w:sz w:val="24"/>
          <w:szCs w:val="24"/>
          <w:shd w:val="clear" w:color="auto" w:fill="FFFFFF"/>
          <w:lang w:eastAsia="zh-CN"/>
        </w:rPr>
        <w:t>Hypnos</w:t>
      </w:r>
      <w:proofErr w:type="spellEnd"/>
      <w:r>
        <w:rPr>
          <w:rFonts w:ascii="Times New Roman" w:eastAsia="Segoe UI" w:hAnsi="Times New Roman" w:cs="Times New Roman"/>
          <w:sz w:val="24"/>
          <w:szCs w:val="24"/>
          <w:shd w:val="clear" w:color="auto" w:fill="FFFFFF"/>
          <w:lang w:eastAsia="zh-CN"/>
        </w:rPr>
        <w:t xml:space="preserve">, irmão de </w:t>
      </w:r>
      <w:proofErr w:type="spellStart"/>
      <w:r>
        <w:rPr>
          <w:rFonts w:ascii="Times New Roman" w:eastAsia="Segoe UI" w:hAnsi="Times New Roman" w:cs="Times New Roman"/>
          <w:sz w:val="24"/>
          <w:szCs w:val="24"/>
          <w:shd w:val="clear" w:color="auto" w:fill="FFFFFF"/>
          <w:lang w:eastAsia="zh-CN"/>
        </w:rPr>
        <w:t>Thanatos</w:t>
      </w:r>
      <w:proofErr w:type="spellEnd"/>
      <w:r>
        <w:rPr>
          <w:rFonts w:ascii="Times New Roman" w:eastAsia="Segoe UI" w:hAnsi="Times New Roman" w:cs="Times New Roman"/>
          <w:sz w:val="24"/>
          <w:szCs w:val="24"/>
          <w:shd w:val="clear" w:color="auto" w:fill="FFFFFF"/>
          <w:lang w:eastAsia="zh-CN"/>
        </w:rPr>
        <w:t xml:space="preserve"> (a Morte), personificava o limiar entre vigília e inconsciente. Nos templos de Asclépio, a </w:t>
      </w:r>
      <w:proofErr w:type="spellStart"/>
      <w:r>
        <w:rPr>
          <w:rFonts w:ascii="Times New Roman" w:eastAsia="Segoe UI" w:hAnsi="Times New Roman" w:cs="Times New Roman"/>
          <w:i/>
          <w:iCs/>
          <w:sz w:val="24"/>
          <w:szCs w:val="24"/>
          <w:shd w:val="clear" w:color="auto" w:fill="FFFFFF"/>
          <w:lang w:eastAsia="zh-CN"/>
        </w:rPr>
        <w:t>incubatio</w:t>
      </w:r>
      <w:proofErr w:type="spellEnd"/>
      <w:r>
        <w:rPr>
          <w:rFonts w:ascii="Times New Roman" w:eastAsia="Segoe UI" w:hAnsi="Times New Roman" w:cs="Times New Roman"/>
          <w:sz w:val="24"/>
          <w:szCs w:val="24"/>
          <w:shd w:val="clear" w:color="auto" w:fill="FFFFFF"/>
          <w:lang w:eastAsia="zh-CN"/>
        </w:rPr>
        <w:t> - ritual em que os doentes dormiam em busca de sonhos curativos - explorava o poder da sugestão e do transe. Era uma prática sagrada, onde a linguagem do sacerdote e a fé do suplicante se combinavam para induzir visões terapêuticas.</w:t>
      </w:r>
      <w:r>
        <w:rPr>
          <w:rFonts w:ascii="Times New Roman" w:eastAsia="Segoe UI" w:hAnsi="Times New Roman" w:cs="Times New Roman"/>
          <w:sz w:val="24"/>
          <w:szCs w:val="24"/>
          <w:shd w:val="clear" w:color="auto" w:fill="FFFFFF"/>
          <w:lang w:eastAsia="zh-CN"/>
        </w:rPr>
        <w:br/>
      </w:r>
      <w:proofErr w:type="spellStart"/>
      <w:r>
        <w:rPr>
          <w:rFonts w:ascii="Times New Roman" w:eastAsia="Segoe UI" w:hAnsi="Times New Roman" w:cs="Times New Roman"/>
          <w:sz w:val="24"/>
          <w:szCs w:val="24"/>
          <w:shd w:val="clear" w:color="auto" w:fill="FFFFFF"/>
          <w:lang w:eastAsia="zh-CN"/>
        </w:rPr>
        <w:lastRenderedPageBreak/>
        <w:t>Hypnos</w:t>
      </w:r>
      <w:proofErr w:type="spellEnd"/>
      <w:r>
        <w:rPr>
          <w:rFonts w:ascii="Times New Roman" w:eastAsia="Segoe UI" w:hAnsi="Times New Roman" w:cs="Times New Roman"/>
          <w:sz w:val="24"/>
          <w:szCs w:val="24"/>
          <w:shd w:val="clear" w:color="auto" w:fill="FFFFFF"/>
          <w:lang w:eastAsia="zh-CN"/>
        </w:rPr>
        <w:t xml:space="preserve"> não representava meramente uma condição fisiológica, mas uma entidade divina habitando a fronteira entre o consciente e o inconsciente. Na Grécia Antiga, o sono era visto como veículo de comunicação com os deuses. Embora a prática moderna da hipnose, cunhada por James </w:t>
      </w:r>
      <w:proofErr w:type="spellStart"/>
      <w:r>
        <w:rPr>
          <w:rFonts w:ascii="Times New Roman" w:eastAsia="Segoe UI" w:hAnsi="Times New Roman" w:cs="Times New Roman"/>
          <w:sz w:val="24"/>
          <w:szCs w:val="24"/>
          <w:shd w:val="clear" w:color="auto" w:fill="FFFFFF"/>
          <w:lang w:eastAsia="zh-CN"/>
        </w:rPr>
        <w:t>Braid</w:t>
      </w:r>
      <w:proofErr w:type="spellEnd"/>
      <w:r>
        <w:rPr>
          <w:rFonts w:ascii="Times New Roman" w:eastAsia="Segoe UI" w:hAnsi="Times New Roman" w:cs="Times New Roman"/>
          <w:sz w:val="24"/>
          <w:szCs w:val="24"/>
          <w:shd w:val="clear" w:color="auto" w:fill="FFFFFF"/>
          <w:lang w:eastAsia="zh-CN"/>
        </w:rPr>
        <w:t xml:space="preserve"> no século XIX, surja de uma investigação científica e não de uma continuidade direta com o mito, é fascinante observar um eco da antiga intuição. Tanto o deus </w:t>
      </w:r>
      <w:proofErr w:type="spellStart"/>
      <w:r>
        <w:rPr>
          <w:rFonts w:ascii="Times New Roman" w:eastAsia="Segoe UI" w:hAnsi="Times New Roman" w:cs="Times New Roman"/>
          <w:sz w:val="24"/>
          <w:szCs w:val="24"/>
          <w:shd w:val="clear" w:color="auto" w:fill="FFFFFF"/>
          <w:lang w:eastAsia="zh-CN"/>
        </w:rPr>
        <w:t>Hypnos</w:t>
      </w:r>
      <w:proofErr w:type="spellEnd"/>
      <w:r>
        <w:rPr>
          <w:rFonts w:ascii="Times New Roman" w:eastAsia="Segoe UI" w:hAnsi="Times New Roman" w:cs="Times New Roman"/>
          <w:sz w:val="24"/>
          <w:szCs w:val="24"/>
          <w:shd w:val="clear" w:color="auto" w:fill="FFFFFF"/>
          <w:lang w:eastAsia="zh-CN"/>
        </w:rPr>
        <w:t xml:space="preserve">, que personificava a passagem para um reino além da vigília comum, quanto a neurociência contemporânea, ao descrever a hipnose como um estado distinto de consciência, apontam para a existência de um limiar cognitivo que separa a experiência ordinária de outras modalidades da mente. Filosoficamente, </w:t>
      </w:r>
      <w:proofErr w:type="spellStart"/>
      <w:r>
        <w:rPr>
          <w:rFonts w:ascii="Times New Roman" w:eastAsia="Segoe UI" w:hAnsi="Times New Roman" w:cs="Times New Roman"/>
          <w:sz w:val="24"/>
          <w:szCs w:val="24"/>
          <w:shd w:val="clear" w:color="auto" w:fill="FFFFFF"/>
          <w:lang w:eastAsia="zh-CN"/>
        </w:rPr>
        <w:t>Hypnos</w:t>
      </w:r>
      <w:proofErr w:type="spellEnd"/>
      <w:r>
        <w:rPr>
          <w:rFonts w:ascii="Times New Roman" w:eastAsia="Segoe UI" w:hAnsi="Times New Roman" w:cs="Times New Roman"/>
          <w:sz w:val="24"/>
          <w:szCs w:val="24"/>
          <w:shd w:val="clear" w:color="auto" w:fill="FFFFFF"/>
          <w:lang w:eastAsia="zh-CN"/>
        </w:rPr>
        <w:t xml:space="preserve"> simboliza o abandono do ego e a entrega ao desconhecido.</w:t>
      </w:r>
      <w:r>
        <w:rPr>
          <w:rFonts w:ascii="Times New Roman" w:eastAsia="Segoe UI" w:hAnsi="Times New Roman" w:cs="Times New Roman"/>
          <w:sz w:val="24"/>
          <w:szCs w:val="24"/>
          <w:shd w:val="clear" w:color="auto" w:fill="FFFFFF"/>
          <w:lang w:eastAsia="zh-CN"/>
        </w:rPr>
        <w:br/>
        <w:t xml:space="preserve">No século XVIII, o fenômeno foi sequestrado pelo mesmerismo de Franz </w:t>
      </w:r>
      <w:proofErr w:type="spellStart"/>
      <w:r>
        <w:rPr>
          <w:rFonts w:ascii="Times New Roman" w:eastAsia="Segoe UI" w:hAnsi="Times New Roman" w:cs="Times New Roman"/>
          <w:sz w:val="24"/>
          <w:szCs w:val="24"/>
          <w:shd w:val="clear" w:color="auto" w:fill="FFFFFF"/>
          <w:lang w:eastAsia="zh-CN"/>
        </w:rPr>
        <w:t>Mesmer</w:t>
      </w:r>
      <w:proofErr w:type="spellEnd"/>
      <w:r>
        <w:rPr>
          <w:rFonts w:ascii="Times New Roman" w:eastAsia="Segoe UI" w:hAnsi="Times New Roman" w:cs="Times New Roman"/>
          <w:sz w:val="24"/>
          <w:szCs w:val="24"/>
          <w:shd w:val="clear" w:color="auto" w:fill="FFFFFF"/>
          <w:lang w:eastAsia="zh-CN"/>
        </w:rPr>
        <w:t>, que atribuía o transe a um "fluido magnético" invisível. Embora equivocada, sua teoria popularizou a noção de que a mente poderia ser guiada para estados alterados, ainda que afastando a hipnose do campo científico.</w:t>
      </w:r>
    </w:p>
    <w:p w14:paraId="62CEFDBA"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 xml:space="preserve">A trajetória terminológica de James </w:t>
      </w:r>
      <w:proofErr w:type="spellStart"/>
      <w:r>
        <w:rPr>
          <w:rFonts w:ascii="Times New Roman" w:eastAsia="Segoe UI" w:hAnsi="Times New Roman" w:cs="Times New Roman"/>
          <w:sz w:val="24"/>
          <w:szCs w:val="24"/>
          <w:shd w:val="clear" w:color="auto" w:fill="FFFFFF"/>
          <w:lang w:eastAsia="zh-CN"/>
        </w:rPr>
        <w:t>Braid</w:t>
      </w:r>
      <w:proofErr w:type="spellEnd"/>
      <w:r>
        <w:rPr>
          <w:rFonts w:ascii="Times New Roman" w:eastAsia="Segoe UI" w:hAnsi="Times New Roman" w:cs="Times New Roman"/>
          <w:sz w:val="24"/>
          <w:szCs w:val="24"/>
          <w:shd w:val="clear" w:color="auto" w:fill="FFFFFF"/>
          <w:lang w:eastAsia="zh-CN"/>
        </w:rPr>
        <w:t xml:space="preserve"> revela um notável refinamento conceitual que acompanhou sua compreensão científica do fenômeno hipnótico. Em 1843, </w:t>
      </w:r>
      <w:proofErr w:type="spellStart"/>
      <w:r>
        <w:rPr>
          <w:rFonts w:ascii="Times New Roman" w:eastAsia="Segoe UI" w:hAnsi="Times New Roman" w:cs="Times New Roman"/>
          <w:sz w:val="24"/>
          <w:szCs w:val="24"/>
          <w:shd w:val="clear" w:color="auto" w:fill="FFFFFF"/>
          <w:lang w:eastAsia="zh-CN"/>
        </w:rPr>
        <w:t>Braid</w:t>
      </w:r>
      <w:proofErr w:type="spellEnd"/>
      <w:r>
        <w:rPr>
          <w:rFonts w:ascii="Times New Roman" w:eastAsia="Segoe UI" w:hAnsi="Times New Roman" w:cs="Times New Roman"/>
          <w:sz w:val="24"/>
          <w:szCs w:val="24"/>
          <w:shd w:val="clear" w:color="auto" w:fill="FFFFFF"/>
          <w:lang w:eastAsia="zh-CN"/>
        </w:rPr>
        <w:t xml:space="preserve"> inicialmente cunhou o termo "neuro-hipnotismo" ou "sono nervoso", buscando distanciar-se do mesmerismo e estabelecer uma explicação fisiológica baseada na "fixação </w:t>
      </w:r>
      <w:proofErr w:type="spellStart"/>
      <w:r>
        <w:rPr>
          <w:rFonts w:ascii="Times New Roman" w:eastAsia="Segoe UI" w:hAnsi="Times New Roman" w:cs="Times New Roman"/>
          <w:sz w:val="24"/>
          <w:szCs w:val="24"/>
          <w:shd w:val="clear" w:color="auto" w:fill="FFFFFF"/>
          <w:lang w:eastAsia="zh-CN"/>
        </w:rPr>
        <w:t>abstracta</w:t>
      </w:r>
      <w:proofErr w:type="spellEnd"/>
      <w:r>
        <w:rPr>
          <w:rFonts w:ascii="Times New Roman" w:eastAsia="Segoe UI" w:hAnsi="Times New Roman" w:cs="Times New Roman"/>
          <w:sz w:val="24"/>
          <w:szCs w:val="24"/>
          <w:shd w:val="clear" w:color="auto" w:fill="FFFFFF"/>
          <w:lang w:eastAsia="zh-CN"/>
        </w:rPr>
        <w:t xml:space="preserve"> do olho mental e visual". Contudo, rapidamente percebeu as limitações desta denominação, reconhecendo que o estado observado não constituía um sono, mas sim uma forma de </w:t>
      </w:r>
      <w:proofErr w:type="spellStart"/>
      <w:r>
        <w:rPr>
          <w:rFonts w:ascii="Times New Roman" w:eastAsia="Segoe UI" w:hAnsi="Times New Roman" w:cs="Times New Roman"/>
          <w:sz w:val="24"/>
          <w:szCs w:val="24"/>
          <w:shd w:val="clear" w:color="auto" w:fill="FFFFFF"/>
          <w:lang w:eastAsia="zh-CN"/>
        </w:rPr>
        <w:t>hiperatenção</w:t>
      </w:r>
      <w:proofErr w:type="spellEnd"/>
      <w:r>
        <w:rPr>
          <w:rFonts w:ascii="Times New Roman" w:eastAsia="Segoe UI" w:hAnsi="Times New Roman" w:cs="Times New Roman"/>
          <w:sz w:val="24"/>
          <w:szCs w:val="24"/>
          <w:shd w:val="clear" w:color="auto" w:fill="FFFFFF"/>
          <w:lang w:eastAsia="zh-CN"/>
        </w:rPr>
        <w:t xml:space="preserve"> concentrada.</w:t>
      </w:r>
      <w:r>
        <w:rPr>
          <w:rFonts w:ascii="Times New Roman" w:eastAsia="Segoe UI" w:hAnsi="Times New Roman" w:cs="Times New Roman"/>
          <w:sz w:val="24"/>
          <w:szCs w:val="24"/>
          <w:shd w:val="clear" w:color="auto" w:fill="FFFFFF"/>
          <w:lang w:eastAsia="zh-CN"/>
        </w:rPr>
        <w:br/>
      </w:r>
      <w:proofErr w:type="spellStart"/>
      <w:r>
        <w:rPr>
          <w:rFonts w:ascii="Times New Roman" w:eastAsia="Segoe UI" w:hAnsi="Times New Roman" w:cs="Times New Roman"/>
          <w:sz w:val="24"/>
          <w:szCs w:val="24"/>
          <w:shd w:val="clear" w:color="auto" w:fill="FFFFFF"/>
          <w:lang w:eastAsia="zh-CN"/>
        </w:rPr>
        <w:t>Braid</w:t>
      </w:r>
      <w:proofErr w:type="spellEnd"/>
      <w:r>
        <w:rPr>
          <w:rFonts w:ascii="Times New Roman" w:eastAsia="Segoe UI" w:hAnsi="Times New Roman" w:cs="Times New Roman"/>
          <w:sz w:val="24"/>
          <w:szCs w:val="24"/>
          <w:shd w:val="clear" w:color="auto" w:fill="FFFFFF"/>
          <w:lang w:eastAsia="zh-CN"/>
        </w:rPr>
        <w:t xml:space="preserve"> refinou o "princípio </w:t>
      </w:r>
      <w:proofErr w:type="spellStart"/>
      <w:r>
        <w:rPr>
          <w:rFonts w:ascii="Times New Roman" w:eastAsia="Segoe UI" w:hAnsi="Times New Roman" w:cs="Times New Roman"/>
          <w:sz w:val="24"/>
          <w:szCs w:val="24"/>
          <w:shd w:val="clear" w:color="auto" w:fill="FFFFFF"/>
          <w:lang w:eastAsia="zh-CN"/>
        </w:rPr>
        <w:t>ideo</w:t>
      </w:r>
      <w:proofErr w:type="spellEnd"/>
      <w:r>
        <w:rPr>
          <w:rFonts w:ascii="Times New Roman" w:eastAsia="Segoe UI" w:hAnsi="Times New Roman" w:cs="Times New Roman"/>
          <w:sz w:val="24"/>
          <w:szCs w:val="24"/>
          <w:shd w:val="clear" w:color="auto" w:fill="FFFFFF"/>
          <w:lang w:eastAsia="zh-CN"/>
        </w:rPr>
        <w:t xml:space="preserve">-motor" de William B. Carpenter, transformando-o em "princípio </w:t>
      </w:r>
      <w:proofErr w:type="spellStart"/>
      <w:r>
        <w:rPr>
          <w:rFonts w:ascii="Times New Roman" w:eastAsia="Segoe UI" w:hAnsi="Times New Roman" w:cs="Times New Roman"/>
          <w:sz w:val="24"/>
          <w:szCs w:val="24"/>
          <w:shd w:val="clear" w:color="auto" w:fill="FFFFFF"/>
          <w:lang w:eastAsia="zh-CN"/>
        </w:rPr>
        <w:t>ideo</w:t>
      </w:r>
      <w:proofErr w:type="spellEnd"/>
      <w:r>
        <w:rPr>
          <w:rFonts w:ascii="Times New Roman" w:eastAsia="Segoe UI" w:hAnsi="Times New Roman" w:cs="Times New Roman"/>
          <w:sz w:val="24"/>
          <w:szCs w:val="24"/>
          <w:shd w:val="clear" w:color="auto" w:fill="FFFFFF"/>
          <w:lang w:eastAsia="zh-CN"/>
        </w:rPr>
        <w:t>-dinâmico" por sugestão de Daniel Noble - uma modificação que ampliou seu escopo explicativo para incluir tanto a excitação quanto a inibição de funções orgânicas (</w:t>
      </w:r>
      <w:proofErr w:type="spellStart"/>
      <w:r>
        <w:rPr>
          <w:rFonts w:ascii="Times New Roman" w:eastAsia="Segoe UI" w:hAnsi="Times New Roman" w:cs="Times New Roman"/>
          <w:sz w:val="24"/>
          <w:szCs w:val="24"/>
          <w:shd w:val="clear" w:color="auto" w:fill="FFFFFF"/>
          <w:lang w:eastAsia="zh-CN"/>
        </w:rPr>
        <w:t>Yeates</w:t>
      </w:r>
      <w:proofErr w:type="spellEnd"/>
      <w:r>
        <w:rPr>
          <w:rFonts w:ascii="Times New Roman" w:eastAsia="Segoe UI" w:hAnsi="Times New Roman" w:cs="Times New Roman"/>
          <w:sz w:val="24"/>
          <w:szCs w:val="24"/>
          <w:shd w:val="clear" w:color="auto" w:fill="FFFFFF"/>
          <w:lang w:eastAsia="zh-CN"/>
        </w:rPr>
        <w:t>, 2018). A culminação desse desenvolvimento teórico foi a proposta da "</w:t>
      </w:r>
      <w:proofErr w:type="spellStart"/>
      <w:r>
        <w:rPr>
          <w:rFonts w:ascii="Times New Roman" w:eastAsia="Segoe UI" w:hAnsi="Times New Roman" w:cs="Times New Roman"/>
          <w:sz w:val="24"/>
          <w:szCs w:val="24"/>
          <w:shd w:val="clear" w:color="auto" w:fill="FFFFFF"/>
          <w:lang w:eastAsia="zh-CN"/>
        </w:rPr>
        <w:t>psico-fisiologia</w:t>
      </w:r>
      <w:proofErr w:type="spellEnd"/>
      <w:r>
        <w:rPr>
          <w:rFonts w:ascii="Times New Roman" w:eastAsia="Segoe UI" w:hAnsi="Times New Roman" w:cs="Times New Roman"/>
          <w:sz w:val="24"/>
          <w:szCs w:val="24"/>
          <w:shd w:val="clear" w:color="auto" w:fill="FFFFFF"/>
          <w:lang w:eastAsia="zh-CN"/>
        </w:rPr>
        <w:t>" em 1855, estabelecendo um domínio científico unificado para os fenômenos mente-corpo, de onde emergiu o "</w:t>
      </w:r>
      <w:proofErr w:type="spellStart"/>
      <w:r>
        <w:rPr>
          <w:rFonts w:ascii="Times New Roman" w:eastAsia="Segoe UI" w:hAnsi="Times New Roman" w:cs="Times New Roman"/>
          <w:sz w:val="24"/>
          <w:szCs w:val="24"/>
          <w:shd w:val="clear" w:color="auto" w:fill="FFFFFF"/>
          <w:lang w:eastAsia="zh-CN"/>
        </w:rPr>
        <w:t>monoideo</w:t>
      </w:r>
      <w:proofErr w:type="spellEnd"/>
      <w:r>
        <w:rPr>
          <w:rFonts w:ascii="Times New Roman" w:eastAsia="Segoe UI" w:hAnsi="Times New Roman" w:cs="Times New Roman"/>
          <w:sz w:val="24"/>
          <w:szCs w:val="24"/>
          <w:shd w:val="clear" w:color="auto" w:fill="FFFFFF"/>
          <w:lang w:eastAsia="zh-CN"/>
        </w:rPr>
        <w:t xml:space="preserve">-dinamismo" como síntese final. Este conceito integrou o monoideísmo com o princípio </w:t>
      </w:r>
      <w:proofErr w:type="spellStart"/>
      <w:r>
        <w:rPr>
          <w:rFonts w:ascii="Times New Roman" w:eastAsia="Segoe UI" w:hAnsi="Times New Roman" w:cs="Times New Roman"/>
          <w:sz w:val="24"/>
          <w:szCs w:val="24"/>
          <w:shd w:val="clear" w:color="auto" w:fill="FFFFFF"/>
          <w:lang w:eastAsia="zh-CN"/>
        </w:rPr>
        <w:t>ideo</w:t>
      </w:r>
      <w:proofErr w:type="spellEnd"/>
      <w:r>
        <w:rPr>
          <w:rFonts w:ascii="Times New Roman" w:eastAsia="Segoe UI" w:hAnsi="Times New Roman" w:cs="Times New Roman"/>
          <w:sz w:val="24"/>
          <w:szCs w:val="24"/>
          <w:shd w:val="clear" w:color="auto" w:fill="FFFFFF"/>
          <w:lang w:eastAsia="zh-CN"/>
        </w:rPr>
        <w:t>-dinâmico para explicar como ideias dominantes produzem mudanças psicofisiológicas (</w:t>
      </w:r>
      <w:proofErr w:type="spellStart"/>
      <w:r>
        <w:rPr>
          <w:rFonts w:ascii="Times New Roman" w:eastAsia="Segoe UI" w:hAnsi="Times New Roman" w:cs="Times New Roman"/>
          <w:sz w:val="24"/>
          <w:szCs w:val="24"/>
          <w:shd w:val="clear" w:color="auto" w:fill="FFFFFF"/>
          <w:lang w:eastAsia="zh-CN"/>
        </w:rPr>
        <w:t>Yeates</w:t>
      </w:r>
      <w:proofErr w:type="spellEnd"/>
      <w:r>
        <w:rPr>
          <w:rFonts w:ascii="Times New Roman" w:eastAsia="Segoe UI" w:hAnsi="Times New Roman" w:cs="Times New Roman"/>
          <w:sz w:val="24"/>
          <w:szCs w:val="24"/>
          <w:shd w:val="clear" w:color="auto" w:fill="FFFFFF"/>
          <w:lang w:eastAsia="zh-CN"/>
        </w:rPr>
        <w:t>, 2018).</w:t>
      </w:r>
    </w:p>
    <w:p w14:paraId="39E8BAC3"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 xml:space="preserve">A persistência do termo "hipnose", apesar de sua imprecisão descritiva, testemunha como uma metáfora inicial pode moldar duradouramente um campo de estudo, enquanto a evolução terminológica de </w:t>
      </w:r>
      <w:proofErr w:type="spellStart"/>
      <w:r>
        <w:rPr>
          <w:rFonts w:ascii="Times New Roman" w:eastAsia="Segoe UI" w:hAnsi="Times New Roman" w:cs="Times New Roman"/>
          <w:sz w:val="24"/>
          <w:szCs w:val="24"/>
          <w:shd w:val="clear" w:color="auto" w:fill="FFFFFF"/>
          <w:lang w:eastAsia="zh-CN"/>
        </w:rPr>
        <w:t>Braid</w:t>
      </w:r>
      <w:proofErr w:type="spellEnd"/>
      <w:r>
        <w:rPr>
          <w:rFonts w:ascii="Times New Roman" w:eastAsia="Segoe UI" w:hAnsi="Times New Roman" w:cs="Times New Roman"/>
          <w:sz w:val="24"/>
          <w:szCs w:val="24"/>
          <w:shd w:val="clear" w:color="auto" w:fill="FFFFFF"/>
          <w:lang w:eastAsia="zh-CN"/>
        </w:rPr>
        <w:t xml:space="preserve"> reflete sua crescente ênfase no papel ativo do sujeito e na natureza estritamente natural dos fenômenos hipnóticos.</w:t>
      </w:r>
      <w:r>
        <w:rPr>
          <w:rFonts w:ascii="Times New Roman" w:eastAsia="Segoe UI" w:hAnsi="Times New Roman" w:cs="Times New Roman"/>
          <w:sz w:val="24"/>
          <w:szCs w:val="24"/>
          <w:shd w:val="clear" w:color="auto" w:fill="FFFFFF"/>
          <w:lang w:eastAsia="zh-CN"/>
        </w:rPr>
        <w:br/>
        <w:t xml:space="preserve">No século XXI, a neurociência confirmou a intuição de </w:t>
      </w:r>
      <w:proofErr w:type="spellStart"/>
      <w:r>
        <w:rPr>
          <w:rFonts w:ascii="Times New Roman" w:eastAsia="Segoe UI" w:hAnsi="Times New Roman" w:cs="Times New Roman"/>
          <w:sz w:val="24"/>
          <w:szCs w:val="24"/>
          <w:shd w:val="clear" w:color="auto" w:fill="FFFFFF"/>
          <w:lang w:eastAsia="zh-CN"/>
        </w:rPr>
        <w:t>Braid</w:t>
      </w:r>
      <w:proofErr w:type="spellEnd"/>
      <w:r>
        <w:rPr>
          <w:rFonts w:ascii="Times New Roman" w:eastAsia="Segoe UI" w:hAnsi="Times New Roman" w:cs="Times New Roman"/>
          <w:sz w:val="24"/>
          <w:szCs w:val="24"/>
          <w:shd w:val="clear" w:color="auto" w:fill="FFFFFF"/>
          <w:lang w:eastAsia="zh-CN"/>
        </w:rPr>
        <w:t>. Estudos de neuroimagem funcional (</w:t>
      </w:r>
      <w:proofErr w:type="spellStart"/>
      <w:r>
        <w:rPr>
          <w:rFonts w:ascii="Times New Roman" w:eastAsia="Segoe UI" w:hAnsi="Times New Roman" w:cs="Times New Roman"/>
          <w:sz w:val="24"/>
          <w:szCs w:val="24"/>
          <w:shd w:val="clear" w:color="auto" w:fill="FFFFFF"/>
          <w:lang w:eastAsia="zh-CN"/>
        </w:rPr>
        <w:t>fMRI</w:t>
      </w:r>
      <w:proofErr w:type="spellEnd"/>
      <w:r>
        <w:rPr>
          <w:rFonts w:ascii="Times New Roman" w:eastAsia="Segoe UI" w:hAnsi="Times New Roman" w:cs="Times New Roman"/>
          <w:sz w:val="24"/>
          <w:szCs w:val="24"/>
          <w:shd w:val="clear" w:color="auto" w:fill="FFFFFF"/>
          <w:lang w:eastAsia="zh-CN"/>
        </w:rPr>
        <w:t xml:space="preserve">, EEG) demonstram que a hipnose é um estado de alerta paradoxal, em que redes de atenção executiva se potencializam enquanto a atividade da Rede de Modo Padrão </w:t>
      </w:r>
      <w:r>
        <w:rPr>
          <w:rFonts w:ascii="Times New Roman" w:eastAsia="Segoe UI" w:hAnsi="Times New Roman" w:cs="Times New Roman"/>
          <w:sz w:val="24"/>
          <w:szCs w:val="24"/>
          <w:shd w:val="clear" w:color="auto" w:fill="FFFFFF"/>
          <w:lang w:eastAsia="zh-CN"/>
        </w:rPr>
        <w:lastRenderedPageBreak/>
        <w:t>(DMN) - associada à autorreflexão espontânea - é modulada, correlacionando-se com o estado de absorção característico. A sugestão hipnótica, assim, não é magia, mas um exemplo agudo de como a cognição (a ideia) pode modular a função cerebral em tempo real, alterando a percepção e o comportamento.</w:t>
      </w:r>
    </w:p>
    <w:p w14:paraId="30519DC9" w14:textId="77777777" w:rsidR="0003312E" w:rsidRDefault="0003312E">
      <w:pPr>
        <w:spacing w:after="0" w:line="360" w:lineRule="auto"/>
        <w:ind w:firstLine="709"/>
        <w:jc w:val="both"/>
        <w:rPr>
          <w:rFonts w:ascii="Times New Roman" w:eastAsia="Segoe UI" w:hAnsi="Times New Roman" w:cs="Times New Roman"/>
          <w:sz w:val="24"/>
          <w:szCs w:val="24"/>
          <w:shd w:val="clear" w:color="auto" w:fill="FFFFFF"/>
          <w:lang w:eastAsia="zh-CN"/>
        </w:rPr>
      </w:pPr>
    </w:p>
    <w:p w14:paraId="461F04C8"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Quadro 1.1. A Evolução da Hipnose: Do Mito à Neurociência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36"/>
        <w:gridCol w:w="2141"/>
        <w:gridCol w:w="5584"/>
      </w:tblGrid>
      <w:tr w:rsidR="0003312E" w14:paraId="256526B3" w14:textId="77777777">
        <w:trPr>
          <w:tblHeader/>
        </w:trPr>
        <w:tc>
          <w:tcPr>
            <w:tcW w:w="0" w:type="auto"/>
            <w:tcMar>
              <w:top w:w="150" w:type="dxa"/>
              <w:left w:w="0" w:type="dxa"/>
              <w:bottom w:w="150" w:type="dxa"/>
              <w:right w:w="240" w:type="dxa"/>
            </w:tcMar>
            <w:vAlign w:val="center"/>
          </w:tcPr>
          <w:p w14:paraId="2F07418D"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Época</w:t>
            </w:r>
          </w:p>
        </w:tc>
        <w:tc>
          <w:tcPr>
            <w:tcW w:w="0" w:type="auto"/>
            <w:tcMar>
              <w:top w:w="150" w:type="dxa"/>
              <w:left w:w="240" w:type="dxa"/>
              <w:bottom w:w="150" w:type="dxa"/>
              <w:right w:w="240" w:type="dxa"/>
            </w:tcMar>
            <w:vAlign w:val="center"/>
          </w:tcPr>
          <w:p w14:paraId="446A9058"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Marco</w:t>
            </w:r>
          </w:p>
        </w:tc>
        <w:tc>
          <w:tcPr>
            <w:tcW w:w="0" w:type="auto"/>
            <w:tcMar>
              <w:top w:w="150" w:type="dxa"/>
              <w:left w:w="240" w:type="dxa"/>
              <w:bottom w:w="150" w:type="dxa"/>
              <w:right w:w="240" w:type="dxa"/>
            </w:tcMar>
            <w:vAlign w:val="center"/>
          </w:tcPr>
          <w:p w14:paraId="47305CCE"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Significado e Impacto</w:t>
            </w:r>
          </w:p>
        </w:tc>
      </w:tr>
      <w:tr w:rsidR="0003312E" w14:paraId="30BF91E6" w14:textId="77777777">
        <w:tc>
          <w:tcPr>
            <w:tcW w:w="0" w:type="auto"/>
            <w:tcMar>
              <w:top w:w="150" w:type="dxa"/>
              <w:left w:w="0" w:type="dxa"/>
              <w:bottom w:w="150" w:type="dxa"/>
              <w:right w:w="240" w:type="dxa"/>
            </w:tcMar>
            <w:vAlign w:val="center"/>
          </w:tcPr>
          <w:p w14:paraId="348A6F07"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Grécia Antiga (Mito)</w:t>
            </w:r>
          </w:p>
        </w:tc>
        <w:tc>
          <w:tcPr>
            <w:tcW w:w="0" w:type="auto"/>
            <w:tcMar>
              <w:top w:w="150" w:type="dxa"/>
              <w:left w:w="240" w:type="dxa"/>
              <w:bottom w:w="150" w:type="dxa"/>
              <w:right w:w="240" w:type="dxa"/>
            </w:tcMar>
            <w:vAlign w:val="center"/>
          </w:tcPr>
          <w:p w14:paraId="3DD23CC1"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proofErr w:type="spellStart"/>
            <w:r>
              <w:rPr>
                <w:rFonts w:ascii="Times New Roman" w:eastAsia="Segoe UI" w:hAnsi="Times New Roman" w:cs="Times New Roman"/>
                <w:sz w:val="20"/>
                <w:szCs w:val="20"/>
                <w:shd w:val="clear" w:color="auto" w:fill="FFFFFF"/>
                <w:lang w:eastAsia="zh-CN"/>
              </w:rPr>
              <w:t>Hypnos</w:t>
            </w:r>
            <w:proofErr w:type="spellEnd"/>
            <w:r>
              <w:rPr>
                <w:rFonts w:ascii="Times New Roman" w:eastAsia="Segoe UI" w:hAnsi="Times New Roman" w:cs="Times New Roman"/>
                <w:sz w:val="20"/>
                <w:szCs w:val="20"/>
                <w:shd w:val="clear" w:color="auto" w:fill="FFFFFF"/>
                <w:lang w:eastAsia="zh-CN"/>
              </w:rPr>
              <w:t>, deus do sono</w:t>
            </w:r>
          </w:p>
        </w:tc>
        <w:tc>
          <w:tcPr>
            <w:tcW w:w="0" w:type="auto"/>
            <w:tcMar>
              <w:top w:w="150" w:type="dxa"/>
              <w:left w:w="240" w:type="dxa"/>
              <w:bottom w:w="150" w:type="dxa"/>
              <w:right w:w="0" w:type="dxa"/>
            </w:tcMar>
            <w:vAlign w:val="center"/>
          </w:tcPr>
          <w:p w14:paraId="45719074"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 xml:space="preserve">Personificação do limiar entre vigília e inconsciente, irmão de </w:t>
            </w:r>
            <w:proofErr w:type="spellStart"/>
            <w:r>
              <w:rPr>
                <w:rFonts w:ascii="Times New Roman" w:eastAsia="Segoe UI" w:hAnsi="Times New Roman" w:cs="Times New Roman"/>
                <w:sz w:val="20"/>
                <w:szCs w:val="20"/>
                <w:shd w:val="clear" w:color="auto" w:fill="FFFFFF"/>
                <w:lang w:eastAsia="zh-CN"/>
              </w:rPr>
              <w:t>Thanatos</w:t>
            </w:r>
            <w:proofErr w:type="spellEnd"/>
            <w:r>
              <w:rPr>
                <w:rFonts w:ascii="Times New Roman" w:eastAsia="Segoe UI" w:hAnsi="Times New Roman" w:cs="Times New Roman"/>
                <w:sz w:val="20"/>
                <w:szCs w:val="20"/>
                <w:shd w:val="clear" w:color="auto" w:fill="FFFFFF"/>
                <w:lang w:eastAsia="zh-CN"/>
              </w:rPr>
              <w:t>. Simbolizava a passagem para o invisível, território onde a consciência se dissolve.</w:t>
            </w:r>
          </w:p>
        </w:tc>
      </w:tr>
      <w:tr w:rsidR="0003312E" w14:paraId="0E8A09C5" w14:textId="77777777">
        <w:tc>
          <w:tcPr>
            <w:tcW w:w="0" w:type="auto"/>
            <w:tcMar>
              <w:top w:w="150" w:type="dxa"/>
              <w:left w:w="0" w:type="dxa"/>
              <w:bottom w:w="150" w:type="dxa"/>
              <w:right w:w="240" w:type="dxa"/>
            </w:tcMar>
            <w:vAlign w:val="center"/>
          </w:tcPr>
          <w:p w14:paraId="404D03A4"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Grécia Antiga (Prática)</w:t>
            </w:r>
          </w:p>
        </w:tc>
        <w:tc>
          <w:tcPr>
            <w:tcW w:w="0" w:type="auto"/>
            <w:tcMar>
              <w:top w:w="150" w:type="dxa"/>
              <w:left w:w="240" w:type="dxa"/>
              <w:bottom w:w="150" w:type="dxa"/>
              <w:right w:w="240" w:type="dxa"/>
            </w:tcMar>
            <w:vAlign w:val="center"/>
          </w:tcPr>
          <w:p w14:paraId="6591714F"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proofErr w:type="spellStart"/>
            <w:r>
              <w:rPr>
                <w:rFonts w:ascii="Times New Roman" w:eastAsia="Segoe UI" w:hAnsi="Times New Roman" w:cs="Times New Roman"/>
                <w:i/>
                <w:iCs/>
                <w:sz w:val="20"/>
                <w:szCs w:val="20"/>
                <w:shd w:val="clear" w:color="auto" w:fill="FFFFFF"/>
                <w:lang w:eastAsia="zh-CN"/>
              </w:rPr>
              <w:t>Incubatio</w:t>
            </w:r>
            <w:proofErr w:type="spellEnd"/>
            <w:r>
              <w:rPr>
                <w:rFonts w:ascii="Times New Roman" w:eastAsia="Segoe UI" w:hAnsi="Times New Roman" w:cs="Times New Roman"/>
                <w:sz w:val="20"/>
                <w:szCs w:val="20"/>
                <w:shd w:val="clear" w:color="auto" w:fill="FFFFFF"/>
                <w:lang w:eastAsia="zh-CN"/>
              </w:rPr>
              <w:t> nos templos de Asclépio</w:t>
            </w:r>
          </w:p>
        </w:tc>
        <w:tc>
          <w:tcPr>
            <w:tcW w:w="0" w:type="auto"/>
            <w:tcMar>
              <w:top w:w="150" w:type="dxa"/>
              <w:left w:w="240" w:type="dxa"/>
              <w:bottom w:w="150" w:type="dxa"/>
              <w:right w:w="0" w:type="dxa"/>
            </w:tcMar>
            <w:vAlign w:val="center"/>
          </w:tcPr>
          <w:p w14:paraId="17B4CF86"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Ritual de cura em que os doentes dormiam buscando sonhos terapêuticos induzidos por sugestão e ambiente sagrado. Primeira evidência clínica de estados alterados de consciência.</w:t>
            </w:r>
          </w:p>
        </w:tc>
      </w:tr>
      <w:tr w:rsidR="0003312E" w14:paraId="488B7F4F" w14:textId="77777777">
        <w:tc>
          <w:tcPr>
            <w:tcW w:w="0" w:type="auto"/>
            <w:tcMar>
              <w:top w:w="150" w:type="dxa"/>
              <w:left w:w="0" w:type="dxa"/>
              <w:bottom w:w="150" w:type="dxa"/>
              <w:right w:w="240" w:type="dxa"/>
            </w:tcMar>
            <w:vAlign w:val="center"/>
          </w:tcPr>
          <w:p w14:paraId="60A585FC"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Século XVIII</w:t>
            </w:r>
          </w:p>
        </w:tc>
        <w:tc>
          <w:tcPr>
            <w:tcW w:w="0" w:type="auto"/>
            <w:tcMar>
              <w:top w:w="150" w:type="dxa"/>
              <w:left w:w="240" w:type="dxa"/>
              <w:bottom w:w="150" w:type="dxa"/>
              <w:right w:w="240" w:type="dxa"/>
            </w:tcMar>
            <w:vAlign w:val="center"/>
          </w:tcPr>
          <w:p w14:paraId="4911EFF6"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 xml:space="preserve">Mesmerismo (Franz </w:t>
            </w:r>
            <w:proofErr w:type="spellStart"/>
            <w:r>
              <w:rPr>
                <w:rFonts w:ascii="Times New Roman" w:eastAsia="Segoe UI" w:hAnsi="Times New Roman" w:cs="Times New Roman"/>
                <w:sz w:val="20"/>
                <w:szCs w:val="20"/>
                <w:shd w:val="clear" w:color="auto" w:fill="FFFFFF"/>
                <w:lang w:eastAsia="zh-CN"/>
              </w:rPr>
              <w:t>Mesmer</w:t>
            </w:r>
            <w:proofErr w:type="spellEnd"/>
            <w:r>
              <w:rPr>
                <w:rFonts w:ascii="Times New Roman" w:eastAsia="Segoe UI" w:hAnsi="Times New Roman" w:cs="Times New Roman"/>
                <w:sz w:val="20"/>
                <w:szCs w:val="20"/>
                <w:shd w:val="clear" w:color="auto" w:fill="FFFFFF"/>
                <w:lang w:eastAsia="zh-CN"/>
              </w:rPr>
              <w:t>)</w:t>
            </w:r>
          </w:p>
        </w:tc>
        <w:tc>
          <w:tcPr>
            <w:tcW w:w="0" w:type="auto"/>
            <w:tcMar>
              <w:top w:w="150" w:type="dxa"/>
              <w:left w:w="240" w:type="dxa"/>
              <w:bottom w:w="150" w:type="dxa"/>
              <w:right w:w="0" w:type="dxa"/>
            </w:tcMar>
            <w:vAlign w:val="center"/>
          </w:tcPr>
          <w:p w14:paraId="502F7AEC"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Atribuía o transe a um "fluido magnético" universal. Popularizou o fenômeno, mas com base pseudocientífica, atrasando sua compreensão.</w:t>
            </w:r>
          </w:p>
        </w:tc>
      </w:tr>
      <w:tr w:rsidR="0003312E" w14:paraId="36668328" w14:textId="77777777">
        <w:tc>
          <w:tcPr>
            <w:tcW w:w="0" w:type="auto"/>
            <w:tcMar>
              <w:top w:w="150" w:type="dxa"/>
              <w:left w:w="0" w:type="dxa"/>
              <w:bottom w:w="150" w:type="dxa"/>
              <w:right w:w="240" w:type="dxa"/>
            </w:tcMar>
            <w:vAlign w:val="center"/>
          </w:tcPr>
          <w:p w14:paraId="2A9FCFCB"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1843</w:t>
            </w:r>
          </w:p>
        </w:tc>
        <w:tc>
          <w:tcPr>
            <w:tcW w:w="0" w:type="auto"/>
            <w:tcMar>
              <w:top w:w="150" w:type="dxa"/>
              <w:left w:w="240" w:type="dxa"/>
              <w:bottom w:w="150" w:type="dxa"/>
              <w:right w:w="240" w:type="dxa"/>
            </w:tcMar>
            <w:vAlign w:val="center"/>
          </w:tcPr>
          <w:p w14:paraId="4FF36D45"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proofErr w:type="spellStart"/>
            <w:r>
              <w:rPr>
                <w:rFonts w:ascii="Times New Roman" w:eastAsia="Segoe UI" w:hAnsi="Times New Roman" w:cs="Times New Roman"/>
                <w:sz w:val="20"/>
                <w:szCs w:val="20"/>
                <w:shd w:val="clear" w:color="auto" w:fill="FFFFFF"/>
                <w:lang w:eastAsia="zh-CN"/>
              </w:rPr>
              <w:t>Braid</w:t>
            </w:r>
            <w:proofErr w:type="spellEnd"/>
            <w:r>
              <w:rPr>
                <w:rFonts w:ascii="Times New Roman" w:eastAsia="Segoe UI" w:hAnsi="Times New Roman" w:cs="Times New Roman"/>
                <w:sz w:val="20"/>
                <w:szCs w:val="20"/>
                <w:shd w:val="clear" w:color="auto" w:fill="FFFFFF"/>
                <w:lang w:eastAsia="zh-CN"/>
              </w:rPr>
              <w:t xml:space="preserve"> cunha "hipnose"</w:t>
            </w:r>
          </w:p>
        </w:tc>
        <w:tc>
          <w:tcPr>
            <w:tcW w:w="0" w:type="auto"/>
            <w:tcMar>
              <w:top w:w="150" w:type="dxa"/>
              <w:left w:w="240" w:type="dxa"/>
              <w:bottom w:w="150" w:type="dxa"/>
              <w:right w:w="0" w:type="dxa"/>
            </w:tcMar>
            <w:vAlign w:val="center"/>
          </w:tcPr>
          <w:p w14:paraId="48B3D7B1"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Resgata a raiz grega </w:t>
            </w:r>
            <w:proofErr w:type="spellStart"/>
            <w:r>
              <w:rPr>
                <w:rFonts w:ascii="Times New Roman" w:eastAsia="Segoe UI" w:hAnsi="Times New Roman" w:cs="Times New Roman"/>
                <w:i/>
                <w:iCs/>
                <w:sz w:val="20"/>
                <w:szCs w:val="20"/>
                <w:shd w:val="clear" w:color="auto" w:fill="FFFFFF"/>
                <w:lang w:eastAsia="zh-CN"/>
              </w:rPr>
              <w:t>hýpnos</w:t>
            </w:r>
            <w:proofErr w:type="spellEnd"/>
            <w:r>
              <w:rPr>
                <w:rFonts w:ascii="Times New Roman" w:eastAsia="Segoe UI" w:hAnsi="Times New Roman" w:cs="Times New Roman"/>
                <w:sz w:val="20"/>
                <w:szCs w:val="20"/>
                <w:shd w:val="clear" w:color="auto" w:fill="FFFFFF"/>
                <w:lang w:eastAsia="zh-CN"/>
              </w:rPr>
              <w:t>, inicialmente como "sono nervoso", afastando o conceito do mesmerismo.</w:t>
            </w:r>
          </w:p>
        </w:tc>
      </w:tr>
      <w:tr w:rsidR="0003312E" w14:paraId="61445792" w14:textId="77777777">
        <w:tc>
          <w:tcPr>
            <w:tcW w:w="0" w:type="auto"/>
            <w:tcMar>
              <w:top w:w="150" w:type="dxa"/>
              <w:left w:w="0" w:type="dxa"/>
              <w:bottom w:w="150" w:type="dxa"/>
              <w:right w:w="240" w:type="dxa"/>
            </w:tcMar>
            <w:vAlign w:val="center"/>
          </w:tcPr>
          <w:p w14:paraId="15C277EA"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Pós-1843</w:t>
            </w:r>
          </w:p>
        </w:tc>
        <w:tc>
          <w:tcPr>
            <w:tcW w:w="0" w:type="auto"/>
            <w:tcMar>
              <w:top w:w="150" w:type="dxa"/>
              <w:left w:w="240" w:type="dxa"/>
              <w:bottom w:w="150" w:type="dxa"/>
              <w:right w:w="240" w:type="dxa"/>
            </w:tcMar>
            <w:vAlign w:val="center"/>
          </w:tcPr>
          <w:p w14:paraId="607F1270"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Teoria do Monoideísmo</w:t>
            </w:r>
          </w:p>
        </w:tc>
        <w:tc>
          <w:tcPr>
            <w:tcW w:w="0" w:type="auto"/>
            <w:tcMar>
              <w:top w:w="150" w:type="dxa"/>
              <w:left w:w="240" w:type="dxa"/>
              <w:bottom w:w="150" w:type="dxa"/>
              <w:right w:w="0" w:type="dxa"/>
            </w:tcMar>
            <w:vAlign w:val="center"/>
          </w:tcPr>
          <w:p w14:paraId="05F34901"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proofErr w:type="spellStart"/>
            <w:r>
              <w:rPr>
                <w:rFonts w:ascii="Times New Roman" w:eastAsia="Segoe UI" w:hAnsi="Times New Roman" w:cs="Times New Roman"/>
                <w:sz w:val="20"/>
                <w:szCs w:val="20"/>
                <w:shd w:val="clear" w:color="auto" w:fill="FFFFFF"/>
                <w:lang w:eastAsia="zh-CN"/>
              </w:rPr>
              <w:t>Braid</w:t>
            </w:r>
            <w:proofErr w:type="spellEnd"/>
            <w:r>
              <w:rPr>
                <w:rFonts w:ascii="Times New Roman" w:eastAsia="Segoe UI" w:hAnsi="Times New Roman" w:cs="Times New Roman"/>
                <w:sz w:val="20"/>
                <w:szCs w:val="20"/>
                <w:shd w:val="clear" w:color="auto" w:fill="FFFFFF"/>
                <w:lang w:eastAsia="zh-CN"/>
              </w:rPr>
              <w:t xml:space="preserve"> corrige seu conceito: hipnose não é sono, mas </w:t>
            </w:r>
            <w:proofErr w:type="spellStart"/>
            <w:r>
              <w:rPr>
                <w:rFonts w:ascii="Times New Roman" w:eastAsia="Segoe UI" w:hAnsi="Times New Roman" w:cs="Times New Roman"/>
                <w:sz w:val="20"/>
                <w:szCs w:val="20"/>
                <w:shd w:val="clear" w:color="auto" w:fill="FFFFFF"/>
                <w:lang w:eastAsia="zh-CN"/>
              </w:rPr>
              <w:t>hiperatenção</w:t>
            </w:r>
            <w:proofErr w:type="spellEnd"/>
            <w:r>
              <w:rPr>
                <w:rFonts w:ascii="Times New Roman" w:eastAsia="Segoe UI" w:hAnsi="Times New Roman" w:cs="Times New Roman"/>
                <w:sz w:val="20"/>
                <w:szCs w:val="20"/>
                <w:shd w:val="clear" w:color="auto" w:fill="FFFFFF"/>
                <w:lang w:eastAsia="zh-CN"/>
              </w:rPr>
              <w:t xml:space="preserve"> focada em uma ideia única.</w:t>
            </w:r>
          </w:p>
        </w:tc>
      </w:tr>
      <w:tr w:rsidR="0003312E" w14:paraId="76BCA26E" w14:textId="77777777">
        <w:tc>
          <w:tcPr>
            <w:tcW w:w="0" w:type="auto"/>
            <w:tcMar>
              <w:top w:w="150" w:type="dxa"/>
              <w:left w:w="0" w:type="dxa"/>
              <w:bottom w:w="150" w:type="dxa"/>
              <w:right w:w="240" w:type="dxa"/>
            </w:tcMar>
            <w:vAlign w:val="center"/>
          </w:tcPr>
          <w:p w14:paraId="15E05C53"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Séculos XX-XXI</w:t>
            </w:r>
          </w:p>
        </w:tc>
        <w:tc>
          <w:tcPr>
            <w:tcW w:w="0" w:type="auto"/>
            <w:tcMar>
              <w:top w:w="150" w:type="dxa"/>
              <w:left w:w="240" w:type="dxa"/>
              <w:bottom w:w="150" w:type="dxa"/>
              <w:right w:w="240" w:type="dxa"/>
            </w:tcMar>
            <w:vAlign w:val="center"/>
          </w:tcPr>
          <w:p w14:paraId="5B429F49"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Validação Neurocientífica</w:t>
            </w:r>
          </w:p>
        </w:tc>
        <w:tc>
          <w:tcPr>
            <w:tcW w:w="0" w:type="auto"/>
            <w:tcMar>
              <w:top w:w="150" w:type="dxa"/>
              <w:left w:w="240" w:type="dxa"/>
              <w:bottom w:w="150" w:type="dxa"/>
              <w:right w:w="0" w:type="dxa"/>
            </w:tcMar>
            <w:vAlign w:val="center"/>
          </w:tcPr>
          <w:p w14:paraId="25E5AA22"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Neuroimagem funcional (</w:t>
            </w:r>
            <w:proofErr w:type="spellStart"/>
            <w:r>
              <w:rPr>
                <w:rFonts w:ascii="Times New Roman" w:eastAsia="Segoe UI" w:hAnsi="Times New Roman" w:cs="Times New Roman"/>
                <w:sz w:val="20"/>
                <w:szCs w:val="20"/>
                <w:shd w:val="clear" w:color="auto" w:fill="FFFFFF"/>
                <w:lang w:eastAsia="zh-CN"/>
              </w:rPr>
              <w:t>fMRI</w:t>
            </w:r>
            <w:proofErr w:type="spellEnd"/>
            <w:r>
              <w:rPr>
                <w:rFonts w:ascii="Times New Roman" w:eastAsia="Segoe UI" w:hAnsi="Times New Roman" w:cs="Times New Roman"/>
                <w:sz w:val="20"/>
                <w:szCs w:val="20"/>
                <w:shd w:val="clear" w:color="auto" w:fill="FFFFFF"/>
                <w:lang w:eastAsia="zh-CN"/>
              </w:rPr>
              <w:t xml:space="preserve">, EEG) confirma estado de alerta ativo, com ativação de redes de atenção executiva e modulação da Rede de Modo Padrão (DMN), validando o monoideísmo de </w:t>
            </w:r>
            <w:proofErr w:type="spellStart"/>
            <w:r>
              <w:rPr>
                <w:rFonts w:ascii="Times New Roman" w:eastAsia="Segoe UI" w:hAnsi="Times New Roman" w:cs="Times New Roman"/>
                <w:sz w:val="20"/>
                <w:szCs w:val="20"/>
                <w:shd w:val="clear" w:color="auto" w:fill="FFFFFF"/>
                <w:lang w:eastAsia="zh-CN"/>
              </w:rPr>
              <w:t>Braid</w:t>
            </w:r>
            <w:proofErr w:type="spellEnd"/>
            <w:r>
              <w:rPr>
                <w:rFonts w:ascii="Times New Roman" w:eastAsia="Segoe UI" w:hAnsi="Times New Roman" w:cs="Times New Roman"/>
                <w:sz w:val="20"/>
                <w:szCs w:val="20"/>
                <w:shd w:val="clear" w:color="auto" w:fill="FFFFFF"/>
                <w:lang w:eastAsia="zh-CN"/>
              </w:rPr>
              <w:t>.</w:t>
            </w:r>
          </w:p>
        </w:tc>
      </w:tr>
    </w:tbl>
    <w:p w14:paraId="3DB04C20" w14:textId="77777777" w:rsidR="0003312E"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2F652C56"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Em Essência: as Quatro Dimensões da Hipnose</w:t>
      </w:r>
    </w:p>
    <w:p w14:paraId="5762A85F"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1. A Dimensão Etimológica: O Sono e Seus Portais</w:t>
      </w:r>
      <w:r>
        <w:rPr>
          <w:rFonts w:ascii="Times New Roman" w:eastAsia="Segoe UI" w:hAnsi="Times New Roman" w:cs="Times New Roman"/>
          <w:sz w:val="24"/>
          <w:szCs w:val="24"/>
          <w:shd w:val="clear" w:color="auto" w:fill="FFFFFF"/>
          <w:lang w:eastAsia="zh-CN"/>
        </w:rPr>
        <w:br/>
        <w:t xml:space="preserve">Quando </w:t>
      </w:r>
      <w:proofErr w:type="spellStart"/>
      <w:r>
        <w:rPr>
          <w:rFonts w:ascii="Times New Roman" w:eastAsia="Segoe UI" w:hAnsi="Times New Roman" w:cs="Times New Roman"/>
          <w:sz w:val="24"/>
          <w:szCs w:val="24"/>
          <w:shd w:val="clear" w:color="auto" w:fill="FFFFFF"/>
          <w:lang w:eastAsia="zh-CN"/>
        </w:rPr>
        <w:t>Braid</w:t>
      </w:r>
      <w:proofErr w:type="spellEnd"/>
      <w:r>
        <w:rPr>
          <w:rFonts w:ascii="Times New Roman" w:eastAsia="Segoe UI" w:hAnsi="Times New Roman" w:cs="Times New Roman"/>
          <w:sz w:val="24"/>
          <w:szCs w:val="24"/>
          <w:shd w:val="clear" w:color="auto" w:fill="FFFFFF"/>
          <w:lang w:eastAsia="zh-CN"/>
        </w:rPr>
        <w:t xml:space="preserve"> escolheu o termo </w:t>
      </w:r>
      <w:r>
        <w:rPr>
          <w:rFonts w:ascii="Times New Roman" w:eastAsia="Segoe UI" w:hAnsi="Times New Roman" w:cs="Times New Roman"/>
          <w:i/>
          <w:iCs/>
          <w:sz w:val="24"/>
          <w:szCs w:val="24"/>
          <w:shd w:val="clear" w:color="auto" w:fill="FFFFFF"/>
          <w:lang w:eastAsia="zh-CN"/>
        </w:rPr>
        <w:t>hipnose</w:t>
      </w:r>
      <w:r>
        <w:rPr>
          <w:rFonts w:ascii="Times New Roman" w:eastAsia="Segoe UI" w:hAnsi="Times New Roman" w:cs="Times New Roman"/>
          <w:sz w:val="24"/>
          <w:szCs w:val="24"/>
          <w:shd w:val="clear" w:color="auto" w:fill="FFFFFF"/>
          <w:lang w:eastAsia="zh-CN"/>
        </w:rPr>
        <w:t>, cometeu um "erro" genial. Poderia ter adotado um neologismo asséptico, mas preferiu resgatar </w:t>
      </w:r>
      <w:proofErr w:type="spellStart"/>
      <w:r>
        <w:rPr>
          <w:rFonts w:ascii="Times New Roman" w:eastAsia="Segoe UI" w:hAnsi="Times New Roman" w:cs="Times New Roman"/>
          <w:i/>
          <w:iCs/>
          <w:sz w:val="24"/>
          <w:szCs w:val="24"/>
          <w:shd w:val="clear" w:color="auto" w:fill="FFFFFF"/>
          <w:lang w:eastAsia="zh-CN"/>
        </w:rPr>
        <w:t>hýpnos</w:t>
      </w:r>
      <w:proofErr w:type="spellEnd"/>
      <w:r>
        <w:rPr>
          <w:rFonts w:ascii="Times New Roman" w:eastAsia="Segoe UI" w:hAnsi="Times New Roman" w:cs="Times New Roman"/>
          <w:sz w:val="24"/>
          <w:szCs w:val="24"/>
          <w:shd w:val="clear" w:color="auto" w:fill="FFFFFF"/>
          <w:lang w:eastAsia="zh-CN"/>
        </w:rPr>
        <w:t>, a palavra grega para sono. O detalhe crucial estava no sufixo: não </w:t>
      </w:r>
      <w:proofErr w:type="spellStart"/>
      <w:r>
        <w:rPr>
          <w:rFonts w:ascii="Times New Roman" w:eastAsia="Segoe UI" w:hAnsi="Times New Roman" w:cs="Times New Roman"/>
          <w:i/>
          <w:iCs/>
          <w:sz w:val="24"/>
          <w:szCs w:val="24"/>
          <w:shd w:val="clear" w:color="auto" w:fill="FFFFFF"/>
          <w:lang w:eastAsia="zh-CN"/>
        </w:rPr>
        <w:t>hýpnos</w:t>
      </w:r>
      <w:proofErr w:type="spellEnd"/>
      <w:r>
        <w:rPr>
          <w:rFonts w:ascii="Times New Roman" w:eastAsia="Segoe UI" w:hAnsi="Times New Roman" w:cs="Times New Roman"/>
          <w:sz w:val="24"/>
          <w:szCs w:val="24"/>
          <w:shd w:val="clear" w:color="auto" w:fill="FFFFFF"/>
          <w:lang w:eastAsia="zh-CN"/>
        </w:rPr>
        <w:t> (o estado), mas </w:t>
      </w:r>
      <w:proofErr w:type="spellStart"/>
      <w:r>
        <w:rPr>
          <w:rFonts w:ascii="Times New Roman" w:eastAsia="Segoe UI" w:hAnsi="Times New Roman" w:cs="Times New Roman"/>
          <w:i/>
          <w:iCs/>
          <w:sz w:val="24"/>
          <w:szCs w:val="24"/>
          <w:shd w:val="clear" w:color="auto" w:fill="FFFFFF"/>
          <w:lang w:eastAsia="zh-CN"/>
        </w:rPr>
        <w:t>hýpnōsis</w:t>
      </w:r>
      <w:proofErr w:type="spellEnd"/>
      <w:r>
        <w:rPr>
          <w:rFonts w:ascii="Times New Roman" w:eastAsia="Segoe UI" w:hAnsi="Times New Roman" w:cs="Times New Roman"/>
          <w:sz w:val="24"/>
          <w:szCs w:val="24"/>
          <w:shd w:val="clear" w:color="auto" w:fill="FFFFFF"/>
          <w:lang w:eastAsia="zh-CN"/>
        </w:rPr>
        <w:t> (o processo de adormecer). Era uma metáfora precisa: a hipnose não é o sono, mas o ato de cruzar seu limiar. O paradoxo, posteriormente elucidado por EEG, é que o cérebro hipnotizado não dorme. Seu padrão de ondas difere do sono fisiológico. Contudo, a etimologia captura uma verdade fenomenológica: para quem experimenta a hipnose, a sensação é de transitar por um estado onde vigília e sonho se confundem. A palavra, assim, torna-se um portal linguístico, evocando a mente em trânsito entre dois mundos.</w:t>
      </w:r>
    </w:p>
    <w:p w14:paraId="7EE22923" w14:textId="77777777" w:rsidR="0003312E"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455121BF" w14:textId="77777777" w:rsidR="0003312E" w:rsidRDefault="00000000">
      <w:pPr>
        <w:spacing w:after="0" w:line="360" w:lineRule="auto"/>
        <w:ind w:firstLine="709"/>
        <w:jc w:val="both"/>
        <w:rPr>
          <w:rFonts w:ascii="Times New Roman" w:eastAsia="Segoe UI" w:hAnsi="Times New Roman" w:cs="Times New Roman"/>
          <w:b/>
          <w:bCs/>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2. A Dimensão Histórico-Clínica: Do Templo ao Consultório</w:t>
      </w:r>
    </w:p>
    <w:p w14:paraId="548863F1"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A hipnose é tão antiga quanto a própria humanidade, mas sua história clínica revela um processo de apropriação gradual. Na Grécia Antiga, a </w:t>
      </w:r>
      <w:proofErr w:type="spellStart"/>
      <w:r>
        <w:rPr>
          <w:rFonts w:ascii="Times New Roman" w:eastAsia="Segoe UI" w:hAnsi="Times New Roman" w:cs="Times New Roman"/>
          <w:i/>
          <w:iCs/>
          <w:sz w:val="24"/>
          <w:szCs w:val="24"/>
          <w:shd w:val="clear" w:color="auto" w:fill="FFFFFF"/>
          <w:lang w:eastAsia="zh-CN"/>
        </w:rPr>
        <w:t>incubatio</w:t>
      </w:r>
      <w:proofErr w:type="spellEnd"/>
      <w:r>
        <w:rPr>
          <w:rFonts w:ascii="Times New Roman" w:eastAsia="Segoe UI" w:hAnsi="Times New Roman" w:cs="Times New Roman"/>
          <w:sz w:val="24"/>
          <w:szCs w:val="24"/>
          <w:shd w:val="clear" w:color="auto" w:fill="FFFFFF"/>
          <w:lang w:eastAsia="zh-CN"/>
        </w:rPr>
        <w:t xml:space="preserve"> nos templos de Asclépio explorava o poder da sugestão. Os doentes deitavam-se em câmaras sagradas do templo, enquanto sacerdotes usavam palavras e rituais para induzir sonhos curativos, fundindo linguagem e fé para reconfigurar a percepção. No século XVIII, </w:t>
      </w:r>
      <w:proofErr w:type="spellStart"/>
      <w:r>
        <w:rPr>
          <w:rFonts w:ascii="Times New Roman" w:eastAsia="Segoe UI" w:hAnsi="Times New Roman" w:cs="Times New Roman"/>
          <w:sz w:val="24"/>
          <w:szCs w:val="24"/>
          <w:shd w:val="clear" w:color="auto" w:fill="FFFFFF"/>
          <w:lang w:eastAsia="zh-CN"/>
        </w:rPr>
        <w:t>Mesmer</w:t>
      </w:r>
      <w:proofErr w:type="spellEnd"/>
      <w:r>
        <w:rPr>
          <w:rFonts w:ascii="Times New Roman" w:eastAsia="Segoe UI" w:hAnsi="Times New Roman" w:cs="Times New Roman"/>
          <w:sz w:val="24"/>
          <w:szCs w:val="24"/>
          <w:shd w:val="clear" w:color="auto" w:fill="FFFFFF"/>
          <w:lang w:eastAsia="zh-CN"/>
        </w:rPr>
        <w:t xml:space="preserve"> </w:t>
      </w:r>
      <w:proofErr w:type="spellStart"/>
      <w:r>
        <w:rPr>
          <w:rFonts w:ascii="Times New Roman" w:eastAsia="Segoe UI" w:hAnsi="Times New Roman" w:cs="Times New Roman"/>
          <w:sz w:val="24"/>
          <w:szCs w:val="24"/>
          <w:shd w:val="clear" w:color="auto" w:fill="FFFFFF"/>
          <w:lang w:eastAsia="zh-CN"/>
        </w:rPr>
        <w:t>medicalizou</w:t>
      </w:r>
      <w:proofErr w:type="spellEnd"/>
      <w:r>
        <w:rPr>
          <w:rFonts w:ascii="Times New Roman" w:eastAsia="Segoe UI" w:hAnsi="Times New Roman" w:cs="Times New Roman"/>
          <w:sz w:val="24"/>
          <w:szCs w:val="24"/>
          <w:shd w:val="clear" w:color="auto" w:fill="FFFFFF"/>
          <w:lang w:eastAsia="zh-CN"/>
        </w:rPr>
        <w:t xml:space="preserve"> o transe, atribuindo-o a um fluido invisível, um desvio que quase relegou a hipnose ao esoterismo. </w:t>
      </w:r>
      <w:proofErr w:type="spellStart"/>
      <w:r>
        <w:rPr>
          <w:rFonts w:ascii="Times New Roman" w:eastAsia="Segoe UI" w:hAnsi="Times New Roman" w:cs="Times New Roman"/>
          <w:sz w:val="24"/>
          <w:szCs w:val="24"/>
          <w:shd w:val="clear" w:color="auto" w:fill="FFFFFF"/>
          <w:lang w:eastAsia="zh-CN"/>
        </w:rPr>
        <w:t>Braid</w:t>
      </w:r>
      <w:proofErr w:type="spellEnd"/>
      <w:r>
        <w:rPr>
          <w:rFonts w:ascii="Times New Roman" w:eastAsia="Segoe UI" w:hAnsi="Times New Roman" w:cs="Times New Roman"/>
          <w:sz w:val="24"/>
          <w:szCs w:val="24"/>
          <w:shd w:val="clear" w:color="auto" w:fill="FFFFFF"/>
          <w:lang w:eastAsia="zh-CN"/>
        </w:rPr>
        <w:t>, em seu consultório, desmistificou o processo, demonstrando que o transe dependia de um mecanismo psicológico: a fixação da atenção. Seu conceito de monoideísmo - uma ideia dominando a mente - transformou a hipnose em uma ferramenta científica. Hoje, ela é utilizada em anestesia, controle da dor e cirurgias, preservando a essência: a capacidade da mente de se reconfigurar por meio da sugestão.</w:t>
      </w:r>
    </w:p>
    <w:p w14:paraId="0F6F004D" w14:textId="77777777" w:rsidR="0003312E"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306B4518" w14:textId="77777777" w:rsidR="0003312E" w:rsidRDefault="00000000">
      <w:pPr>
        <w:spacing w:after="0" w:line="360" w:lineRule="auto"/>
        <w:ind w:firstLine="709"/>
        <w:jc w:val="both"/>
        <w:rPr>
          <w:rFonts w:ascii="Times New Roman" w:eastAsia="Segoe UI" w:hAnsi="Times New Roman" w:cs="Times New Roman"/>
          <w:b/>
          <w:bCs/>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3. A Dimensão Neurocientífica: A Arquitetura da Atenção</w:t>
      </w:r>
    </w:p>
    <w:p w14:paraId="1E466943"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 xml:space="preserve">A suspeita pioneira de James </w:t>
      </w:r>
      <w:proofErr w:type="spellStart"/>
      <w:r>
        <w:rPr>
          <w:rFonts w:ascii="Times New Roman" w:eastAsia="Segoe UI" w:hAnsi="Times New Roman" w:cs="Times New Roman"/>
          <w:sz w:val="24"/>
          <w:szCs w:val="24"/>
          <w:shd w:val="clear" w:color="auto" w:fill="FFFFFF"/>
          <w:lang w:eastAsia="zh-CN"/>
        </w:rPr>
        <w:t>Braid</w:t>
      </w:r>
      <w:proofErr w:type="spellEnd"/>
      <w:r>
        <w:rPr>
          <w:rFonts w:ascii="Times New Roman" w:eastAsia="Segoe UI" w:hAnsi="Times New Roman" w:cs="Times New Roman"/>
          <w:sz w:val="24"/>
          <w:szCs w:val="24"/>
          <w:shd w:val="clear" w:color="auto" w:fill="FFFFFF"/>
          <w:lang w:eastAsia="zh-CN"/>
        </w:rPr>
        <w:t xml:space="preserve"> de que a hipnose constitui um estado de </w:t>
      </w:r>
      <w:proofErr w:type="spellStart"/>
      <w:r>
        <w:rPr>
          <w:rFonts w:ascii="Times New Roman" w:eastAsia="Segoe UI" w:hAnsi="Times New Roman" w:cs="Times New Roman"/>
          <w:sz w:val="24"/>
          <w:szCs w:val="24"/>
          <w:shd w:val="clear" w:color="auto" w:fill="FFFFFF"/>
          <w:lang w:eastAsia="zh-CN"/>
        </w:rPr>
        <w:t>hiperatenção</w:t>
      </w:r>
      <w:proofErr w:type="spellEnd"/>
      <w:r>
        <w:rPr>
          <w:rFonts w:ascii="Times New Roman" w:eastAsia="Segoe UI" w:hAnsi="Times New Roman" w:cs="Times New Roman"/>
          <w:sz w:val="24"/>
          <w:szCs w:val="24"/>
          <w:shd w:val="clear" w:color="auto" w:fill="FFFFFF"/>
          <w:lang w:eastAsia="zh-CN"/>
        </w:rPr>
        <w:t xml:space="preserve"> encontra respaldo sólido na neurociência contemporânea. Evidências de neuroimagem funcional demonstram que o estado hipnótico mobiliza com vigor regiões encefálicas fundamentais para o controle executivo, como o córtex pré-frontal dorsolateral e o cíngulo anterior. Esta ativação sustenta uma concentração intensa e singular na sugestão oferecida. Paralelamente, os padrões de atividade da DMN durante a hipnose são mais complexos do que uma simples inibição. Estudos indicam uma modulação específica e contextual desta rede, que pode estar relacionada com a redução da autorreflexão espontânea e uma maior absorção na experiência interna gerada pela sugestão. A plasticidade neural induzida pela hipnose estende-se também a redes sensório-motoras. Em essência, o cérebro sob hipnose não se encontra em repouso passivo, mas sim em um estado dinâmico de alerta seletivo, corroborando a visão original de </w:t>
      </w:r>
      <w:proofErr w:type="spellStart"/>
      <w:r>
        <w:rPr>
          <w:rFonts w:ascii="Times New Roman" w:eastAsia="Segoe UI" w:hAnsi="Times New Roman" w:cs="Times New Roman"/>
          <w:sz w:val="24"/>
          <w:szCs w:val="24"/>
          <w:shd w:val="clear" w:color="auto" w:fill="FFFFFF"/>
          <w:lang w:eastAsia="zh-CN"/>
        </w:rPr>
        <w:t>Braid</w:t>
      </w:r>
      <w:proofErr w:type="spellEnd"/>
      <w:r>
        <w:rPr>
          <w:rFonts w:ascii="Times New Roman" w:eastAsia="Segoe UI" w:hAnsi="Times New Roman" w:cs="Times New Roman"/>
          <w:sz w:val="24"/>
          <w:szCs w:val="24"/>
          <w:shd w:val="clear" w:color="auto" w:fill="FFFFFF"/>
          <w:lang w:eastAsia="zh-CN"/>
        </w:rPr>
        <w:t xml:space="preserve"> ao atribuir-lhe um fundamento neurofuncional preciso.</w:t>
      </w:r>
    </w:p>
    <w:p w14:paraId="0E40E405" w14:textId="77777777" w:rsidR="0003312E"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6A783B87" w14:textId="77777777" w:rsidR="0003312E" w:rsidRDefault="00000000">
      <w:pPr>
        <w:spacing w:after="0" w:line="360" w:lineRule="auto"/>
        <w:ind w:firstLine="709"/>
        <w:jc w:val="both"/>
        <w:rPr>
          <w:rFonts w:ascii="Times New Roman" w:eastAsia="Segoe UI" w:hAnsi="Times New Roman" w:cs="Times New Roman"/>
          <w:b/>
          <w:bCs/>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4. A Dimensão Poético-Filosófica: O Limiar como Metáfora</w:t>
      </w:r>
    </w:p>
    <w:p w14:paraId="21908E39"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 xml:space="preserve">Mais que uma técnica clínica, a hipnose é metáfora do limiar. </w:t>
      </w:r>
      <w:proofErr w:type="spellStart"/>
      <w:r>
        <w:rPr>
          <w:rFonts w:ascii="Times New Roman" w:eastAsia="Segoe UI" w:hAnsi="Times New Roman" w:cs="Times New Roman"/>
          <w:sz w:val="24"/>
          <w:szCs w:val="24"/>
          <w:shd w:val="clear" w:color="auto" w:fill="FFFFFF"/>
          <w:lang w:eastAsia="zh-CN"/>
        </w:rPr>
        <w:t>Hypnos</w:t>
      </w:r>
      <w:proofErr w:type="spellEnd"/>
      <w:r>
        <w:rPr>
          <w:rFonts w:ascii="Times New Roman" w:eastAsia="Segoe UI" w:hAnsi="Times New Roman" w:cs="Times New Roman"/>
          <w:sz w:val="24"/>
          <w:szCs w:val="24"/>
          <w:shd w:val="clear" w:color="auto" w:fill="FFFFFF"/>
          <w:lang w:eastAsia="zh-CN"/>
        </w:rPr>
        <w:t xml:space="preserve">, irmão de </w:t>
      </w:r>
      <w:proofErr w:type="spellStart"/>
      <w:r>
        <w:rPr>
          <w:rFonts w:ascii="Times New Roman" w:eastAsia="Segoe UI" w:hAnsi="Times New Roman" w:cs="Times New Roman"/>
          <w:sz w:val="24"/>
          <w:szCs w:val="24"/>
          <w:shd w:val="clear" w:color="auto" w:fill="FFFFFF"/>
          <w:lang w:eastAsia="zh-CN"/>
        </w:rPr>
        <w:t>Thanatos</w:t>
      </w:r>
      <w:proofErr w:type="spellEnd"/>
      <w:r>
        <w:rPr>
          <w:rFonts w:ascii="Times New Roman" w:eastAsia="Segoe UI" w:hAnsi="Times New Roman" w:cs="Times New Roman"/>
          <w:sz w:val="24"/>
          <w:szCs w:val="24"/>
          <w:shd w:val="clear" w:color="auto" w:fill="FFFFFF"/>
          <w:lang w:eastAsia="zh-CN"/>
        </w:rPr>
        <w:t xml:space="preserve">, encarna a fronteira entre vida e morte, consciência e inconsciente. Esse arquétipo do portal, onde as regras da realidade se flexibilizam, constitui o cerne simbólico da hipnose. Ao escolher o termo, </w:t>
      </w:r>
      <w:proofErr w:type="spellStart"/>
      <w:r>
        <w:rPr>
          <w:rFonts w:ascii="Times New Roman" w:eastAsia="Segoe UI" w:hAnsi="Times New Roman" w:cs="Times New Roman"/>
          <w:sz w:val="24"/>
          <w:szCs w:val="24"/>
          <w:shd w:val="clear" w:color="auto" w:fill="FFFFFF"/>
          <w:lang w:eastAsia="zh-CN"/>
        </w:rPr>
        <w:t>Braid</w:t>
      </w:r>
      <w:proofErr w:type="spellEnd"/>
      <w:r>
        <w:rPr>
          <w:rFonts w:ascii="Times New Roman" w:eastAsia="Segoe UI" w:hAnsi="Times New Roman" w:cs="Times New Roman"/>
          <w:sz w:val="24"/>
          <w:szCs w:val="24"/>
          <w:shd w:val="clear" w:color="auto" w:fill="FFFFFF"/>
          <w:lang w:eastAsia="zh-CN"/>
        </w:rPr>
        <w:t xml:space="preserve"> capturou uma verdade profunda: a hipnose é uma jornada. Guiados pela voz alheia ou pelo próprio foco, cruzamos um umbral em que a dor pode ser aliviada, medos </w:t>
      </w:r>
      <w:r>
        <w:rPr>
          <w:rFonts w:ascii="Times New Roman" w:eastAsia="Segoe UI" w:hAnsi="Times New Roman" w:cs="Times New Roman"/>
          <w:sz w:val="24"/>
          <w:szCs w:val="24"/>
          <w:shd w:val="clear" w:color="auto" w:fill="FFFFFF"/>
          <w:lang w:eastAsia="zh-CN"/>
        </w:rPr>
        <w:lastRenderedPageBreak/>
        <w:t xml:space="preserve">ressignificados e a percepção corporal temporariamente suspensa. Nesse sentido, a sugestão hipnótica funciona como um feitiço secularizado - a materialização moderna do poder que os antigos atribuíam às palavras nos templos de Asclépio - uma narrativa compacta que, aceita nesse estado de receptividade, ressignifica a experiência. A </w:t>
      </w:r>
      <w:proofErr w:type="spellStart"/>
      <w:r>
        <w:rPr>
          <w:rFonts w:ascii="Times New Roman" w:eastAsia="Segoe UI" w:hAnsi="Times New Roman" w:cs="Times New Roman"/>
          <w:sz w:val="24"/>
          <w:szCs w:val="24"/>
          <w:shd w:val="clear" w:color="auto" w:fill="FFFFFF"/>
          <w:lang w:eastAsia="zh-CN"/>
        </w:rPr>
        <w:t>neuroetimologia</w:t>
      </w:r>
      <w:proofErr w:type="spellEnd"/>
      <w:r>
        <w:rPr>
          <w:rFonts w:ascii="Times New Roman" w:eastAsia="Segoe UI" w:hAnsi="Times New Roman" w:cs="Times New Roman"/>
          <w:sz w:val="24"/>
          <w:szCs w:val="24"/>
          <w:shd w:val="clear" w:color="auto" w:fill="FFFFFF"/>
          <w:lang w:eastAsia="zh-CN"/>
        </w:rPr>
        <w:t xml:space="preserve"> da hipnose revela, assim, não apenas a história de uma palavra, mas o anseio humano de transcender, ainda que momentaneamente, os limites do eu consciente.</w:t>
      </w:r>
    </w:p>
    <w:p w14:paraId="41ACF4ED" w14:textId="77777777" w:rsidR="0003312E" w:rsidRDefault="0003312E">
      <w:pPr>
        <w:spacing w:after="0" w:line="360" w:lineRule="auto"/>
        <w:ind w:firstLine="709"/>
        <w:jc w:val="both"/>
        <w:rPr>
          <w:rFonts w:ascii="Times New Roman" w:eastAsia="Segoe UI" w:hAnsi="Times New Roman" w:cs="Times New Roman"/>
          <w:sz w:val="24"/>
          <w:szCs w:val="24"/>
          <w:shd w:val="clear" w:color="auto" w:fill="FFFFFF"/>
          <w:lang w:eastAsia="zh-CN"/>
        </w:rPr>
      </w:pPr>
    </w:p>
    <w:p w14:paraId="233D083C" w14:textId="77777777" w:rsidR="0003312E" w:rsidRDefault="00000000">
      <w:pPr>
        <w:spacing w:after="0" w:line="360" w:lineRule="auto"/>
        <w:ind w:firstLine="709"/>
        <w:jc w:val="both"/>
        <w:rPr>
          <w:rFonts w:ascii="Times New Roman" w:eastAsia="Segoe UI" w:hAnsi="Times New Roman" w:cs="Times New Roman"/>
          <w:b/>
          <w:bCs/>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Próximo: O Silêncio do Pensamento</w:t>
      </w:r>
    </w:p>
    <w:p w14:paraId="77719AFE"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 xml:space="preserve">Se a hipnose representa um portal consciente que podemos atravessar – uma jornada ativa da mente pelo limiar da sugestão –, o coma surge como seu antípoda absoluto. É o silêncio abrupto e involuntário da consciência, o fechamento definitivo do portão. Assim como James </w:t>
      </w:r>
      <w:proofErr w:type="spellStart"/>
      <w:r>
        <w:rPr>
          <w:rFonts w:ascii="Times New Roman" w:eastAsia="Segoe UI" w:hAnsi="Times New Roman" w:cs="Times New Roman"/>
          <w:sz w:val="24"/>
          <w:szCs w:val="24"/>
          <w:shd w:val="clear" w:color="auto" w:fill="FFFFFF"/>
          <w:lang w:eastAsia="zh-CN"/>
        </w:rPr>
        <w:t>Braid</w:t>
      </w:r>
      <w:proofErr w:type="spellEnd"/>
      <w:r>
        <w:rPr>
          <w:rFonts w:ascii="Times New Roman" w:eastAsia="Segoe UI" w:hAnsi="Times New Roman" w:cs="Times New Roman"/>
          <w:sz w:val="24"/>
          <w:szCs w:val="24"/>
          <w:shd w:val="clear" w:color="auto" w:fill="FFFFFF"/>
          <w:lang w:eastAsia="zh-CN"/>
        </w:rPr>
        <w:t xml:space="preserve"> se dedicou a mapear as fronteiras da atenção focada, coube a figuras como Harvey Cushing confrontar o mistério clínico supremo: a supressão global da consciência. Esse estado de suspensão das funções corticais, um território que desafia os próprios limites entre vida e morte, será o tema que exploraremos a seguir.</w:t>
      </w:r>
    </w:p>
    <w:p w14:paraId="5C540120" w14:textId="77777777" w:rsidR="0003312E" w:rsidRDefault="00000000">
      <w:pPr>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br w:type="page"/>
      </w:r>
    </w:p>
    <w:tbl>
      <w:tblPr>
        <w:tblStyle w:val="Tabelacomgrade"/>
        <w:tblW w:w="8804"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Look w:val="04A0" w:firstRow="1" w:lastRow="0" w:firstColumn="1" w:lastColumn="0" w:noHBand="0" w:noVBand="1"/>
      </w:tblPr>
      <w:tblGrid>
        <w:gridCol w:w="4506"/>
        <w:gridCol w:w="4298"/>
      </w:tblGrid>
      <w:tr w:rsidR="0003312E" w14:paraId="53B3FE80" w14:textId="77777777">
        <w:trPr>
          <w:trHeight w:val="436"/>
          <w:jc w:val="center"/>
        </w:trPr>
        <w:tc>
          <w:tcPr>
            <w:tcW w:w="8804" w:type="dxa"/>
            <w:gridSpan w:val="2"/>
            <w:tcBorders>
              <w:top w:val="nil"/>
              <w:left w:val="nil"/>
              <w:bottom w:val="nil"/>
              <w:right w:val="nil"/>
            </w:tcBorders>
          </w:tcPr>
          <w:p w14:paraId="1DBC1666" w14:textId="77777777" w:rsidR="0003312E" w:rsidRDefault="00000000">
            <w:pPr>
              <w:spacing w:after="0" w:line="240" w:lineRule="auto"/>
              <w:jc w:val="both"/>
              <w:rPr>
                <w:rFonts w:ascii="Times New Roman" w:eastAsia="SimSun" w:hAnsi="Times New Roman" w:cs="Times New Roman"/>
                <w:b/>
                <w:bCs/>
                <w:sz w:val="24"/>
                <w:szCs w:val="24"/>
              </w:rPr>
            </w:pPr>
            <w:r>
              <w:rPr>
                <w:rFonts w:ascii="Times New Roman" w:eastAsia="Segoe UI" w:hAnsi="Times New Roman" w:cs="Times New Roman"/>
                <w:sz w:val="20"/>
                <w:szCs w:val="20"/>
                <w:shd w:val="clear" w:color="auto" w:fill="FFFFFF"/>
                <w:lang w:eastAsia="zh-CN"/>
              </w:rPr>
              <w:lastRenderedPageBreak/>
              <w:br w:type="page"/>
            </w:r>
            <w:r>
              <w:rPr>
                <w:rFonts w:ascii="Times New Roman" w:hAnsi="Times New Roman" w:cs="Times New Roman"/>
                <w:b/>
                <w:bCs/>
                <w:sz w:val="24"/>
                <w:szCs w:val="24"/>
              </w:rPr>
              <w:t xml:space="preserve">Capítulo </w:t>
            </w:r>
            <w:proofErr w:type="gramStart"/>
            <w:r>
              <w:rPr>
                <w:rFonts w:ascii="Times New Roman" w:hAnsi="Times New Roman" w:cs="Times New Roman"/>
                <w:b/>
                <w:bCs/>
                <w:sz w:val="24"/>
                <w:szCs w:val="24"/>
              </w:rPr>
              <w:t>2  -</w:t>
            </w:r>
            <w:proofErr w:type="gramEnd"/>
            <w:r>
              <w:rPr>
                <w:rFonts w:ascii="Times New Roman" w:hAnsi="Times New Roman" w:cs="Times New Roman"/>
                <w:b/>
                <w:bCs/>
                <w:sz w:val="24"/>
                <w:szCs w:val="24"/>
              </w:rPr>
              <w:t xml:space="preserve">  </w:t>
            </w:r>
            <w:r>
              <w:rPr>
                <w:rFonts w:ascii="Times New Roman" w:eastAsiaTheme="majorEastAsia" w:hAnsi="Times New Roman" w:cs="Times New Roman"/>
                <w:b/>
                <w:bCs/>
                <w:sz w:val="24"/>
                <w:szCs w:val="24"/>
              </w:rPr>
              <w:t>Coma: O Silêncio do Pensamento</w:t>
            </w:r>
          </w:p>
        </w:tc>
      </w:tr>
      <w:tr w:rsidR="0003312E" w14:paraId="214FFB01" w14:textId="77777777">
        <w:trPr>
          <w:trHeight w:val="2409"/>
          <w:jc w:val="center"/>
        </w:trPr>
        <w:tc>
          <w:tcPr>
            <w:tcW w:w="4506" w:type="dxa"/>
            <w:tcBorders>
              <w:top w:val="nil"/>
              <w:left w:val="nil"/>
              <w:bottom w:val="nil"/>
              <w:right w:val="nil"/>
            </w:tcBorders>
          </w:tcPr>
          <w:p w14:paraId="3B375E39" w14:textId="77777777" w:rsidR="0003312E" w:rsidRDefault="00000000">
            <w:pPr>
              <w:spacing w:after="0" w:line="240" w:lineRule="auto"/>
              <w:jc w:val="center"/>
              <w:rPr>
                <w:rStyle w:val="Forte"/>
                <w:rFonts w:ascii="Times New Roman" w:eastAsia="Garamond" w:hAnsi="Times New Roman" w:cs="Times New Roman"/>
                <w:b w:val="0"/>
                <w:bCs w:val="0"/>
                <w:sz w:val="24"/>
                <w:szCs w:val="24"/>
              </w:rPr>
            </w:pPr>
            <w:r>
              <w:rPr>
                <w:rFonts w:ascii="Times New Roman" w:hAnsi="Times New Roman" w:cs="Times New Roman"/>
                <w:noProof/>
                <w:sz w:val="24"/>
                <w:szCs w:val="24"/>
              </w:rPr>
              <w:drawing>
                <wp:inline distT="0" distB="0" distL="0" distR="0" wp14:anchorId="3302961A" wp14:editId="0545344C">
                  <wp:extent cx="1563370" cy="1563370"/>
                  <wp:effectExtent l="0" t="0" r="6350" b="6350"/>
                  <wp:docPr id="139345923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459230" name="Imagem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563370" cy="1563370"/>
                          </a:xfrm>
                          <a:prstGeom prst="rect">
                            <a:avLst/>
                          </a:prstGeom>
                          <a:noFill/>
                          <a:ln>
                            <a:noFill/>
                          </a:ln>
                        </pic:spPr>
                      </pic:pic>
                    </a:graphicData>
                  </a:graphic>
                </wp:inline>
              </w:drawing>
            </w:r>
          </w:p>
        </w:tc>
        <w:tc>
          <w:tcPr>
            <w:tcW w:w="4298" w:type="dxa"/>
            <w:tcBorders>
              <w:top w:val="nil"/>
              <w:left w:val="nil"/>
              <w:bottom w:val="nil"/>
              <w:right w:val="nil"/>
            </w:tcBorders>
          </w:tcPr>
          <w:p w14:paraId="562695DC" w14:textId="77777777" w:rsidR="0003312E" w:rsidRDefault="00000000">
            <w:pPr>
              <w:spacing w:after="0" w:line="240" w:lineRule="auto"/>
              <w:jc w:val="center"/>
              <w:rPr>
                <w:rStyle w:val="Forte"/>
                <w:rFonts w:ascii="Times New Roman" w:eastAsia="Garamond" w:hAnsi="Times New Roman" w:cs="Times New Roman"/>
                <w:b w:val="0"/>
                <w:bCs w:val="0"/>
                <w:sz w:val="24"/>
                <w:szCs w:val="24"/>
              </w:rPr>
            </w:pPr>
            <w:r>
              <w:rPr>
                <w:rFonts w:ascii="Times New Roman" w:eastAsia="SimSun" w:hAnsi="Times New Roman" w:cs="Times New Roman"/>
                <w:noProof/>
                <w:sz w:val="24"/>
                <w:szCs w:val="24"/>
              </w:rPr>
              <w:drawing>
                <wp:inline distT="0" distB="0" distL="114300" distR="114300" wp14:anchorId="4AF3FAB6" wp14:editId="0CE5ED50">
                  <wp:extent cx="1137285" cy="1524000"/>
                  <wp:effectExtent l="0" t="0" r="5715" b="0"/>
                  <wp:docPr id="51" name="Imagem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20" descr="IMG_256"/>
                          <pic:cNvPicPr>
                            <a:picLocks noChangeAspect="1"/>
                          </pic:cNvPicPr>
                        </pic:nvPicPr>
                        <pic:blipFill>
                          <a:blip r:embed="rId16"/>
                          <a:stretch>
                            <a:fillRect/>
                          </a:stretch>
                        </pic:blipFill>
                        <pic:spPr>
                          <a:xfrm>
                            <a:off x="0" y="0"/>
                            <a:ext cx="1137285" cy="1524000"/>
                          </a:xfrm>
                          <a:prstGeom prst="rect">
                            <a:avLst/>
                          </a:prstGeom>
                          <a:noFill/>
                          <a:ln w="9525">
                            <a:noFill/>
                          </a:ln>
                        </pic:spPr>
                      </pic:pic>
                    </a:graphicData>
                  </a:graphic>
                </wp:inline>
              </w:drawing>
            </w:r>
          </w:p>
        </w:tc>
      </w:tr>
      <w:tr w:rsidR="0003312E" w14:paraId="17E8C7B7" w14:textId="77777777">
        <w:trPr>
          <w:trHeight w:val="476"/>
          <w:jc w:val="center"/>
        </w:trPr>
        <w:tc>
          <w:tcPr>
            <w:tcW w:w="4506" w:type="dxa"/>
            <w:tcBorders>
              <w:top w:val="nil"/>
              <w:left w:val="nil"/>
              <w:bottom w:val="nil"/>
              <w:right w:val="nil"/>
            </w:tcBorders>
          </w:tcPr>
          <w:p w14:paraId="145D264A" w14:textId="77777777" w:rsidR="0003312E" w:rsidRDefault="00000000">
            <w:pPr>
              <w:spacing w:after="0" w:line="240" w:lineRule="auto"/>
              <w:rPr>
                <w:rStyle w:val="Forte"/>
                <w:rFonts w:ascii="Times New Roman" w:eastAsia="Garamond" w:hAnsi="Times New Roman" w:cs="Times New Roman"/>
                <w:b w:val="0"/>
                <w:bCs w:val="0"/>
                <w:sz w:val="24"/>
                <w:szCs w:val="24"/>
              </w:rPr>
            </w:pPr>
            <w:r>
              <w:rPr>
                <w:rFonts w:ascii="Times New Roman" w:eastAsiaTheme="majorEastAsia" w:hAnsi="Times New Roman" w:cs="Times New Roman"/>
                <w:i/>
                <w:iCs/>
                <w:sz w:val="24"/>
                <w:szCs w:val="24"/>
              </w:rPr>
              <w:t>Figura 2.1: O Carvalho Invernal: Metáfora do Silêncio Neural</w:t>
            </w:r>
          </w:p>
        </w:tc>
        <w:tc>
          <w:tcPr>
            <w:tcW w:w="4298" w:type="dxa"/>
            <w:tcBorders>
              <w:top w:val="nil"/>
              <w:left w:val="nil"/>
              <w:bottom w:val="nil"/>
              <w:right w:val="nil"/>
            </w:tcBorders>
          </w:tcPr>
          <w:p w14:paraId="54929EF4" w14:textId="77777777" w:rsidR="0003312E" w:rsidRDefault="00000000">
            <w:pPr>
              <w:spacing w:after="0" w:line="240" w:lineRule="auto"/>
              <w:rPr>
                <w:rStyle w:val="Forte"/>
                <w:rFonts w:ascii="Times New Roman" w:eastAsia="Garamond" w:hAnsi="Times New Roman" w:cs="Times New Roman"/>
                <w:b w:val="0"/>
                <w:bCs w:val="0"/>
                <w:sz w:val="24"/>
                <w:szCs w:val="24"/>
              </w:rPr>
            </w:pPr>
            <w:r>
              <w:rPr>
                <w:rFonts w:ascii="Times New Roman" w:eastAsiaTheme="majorEastAsia" w:hAnsi="Times New Roman" w:cs="Times New Roman"/>
                <w:i/>
                <w:iCs/>
                <w:sz w:val="24"/>
                <w:szCs w:val="24"/>
              </w:rPr>
              <w:t xml:space="preserve">Figura 2.2: </w:t>
            </w:r>
            <w:r>
              <w:rPr>
                <w:rFonts w:ascii="Times New Roman" w:eastAsia="Segoe UI" w:hAnsi="Times New Roman" w:cs="Times New Roman"/>
                <w:i/>
                <w:iCs/>
                <w:sz w:val="24"/>
                <w:szCs w:val="24"/>
                <w:shd w:val="clear" w:color="auto" w:fill="FFFFFF"/>
              </w:rPr>
              <w:t>Harvey Cushing (1869 - 1939)</w:t>
            </w:r>
            <w:r>
              <w:rPr>
                <w:rFonts w:ascii="Times New Roman" w:eastAsiaTheme="majorEastAsia" w:hAnsi="Times New Roman" w:cs="Times New Roman"/>
                <w:i/>
                <w:iCs/>
                <w:sz w:val="24"/>
                <w:szCs w:val="24"/>
              </w:rPr>
              <w:t>: O Decifrador do Silêncio Cerebral</w:t>
            </w:r>
          </w:p>
        </w:tc>
      </w:tr>
    </w:tbl>
    <w:p w14:paraId="58427F7C" w14:textId="77777777" w:rsidR="0003312E" w:rsidRDefault="0003312E">
      <w:pPr>
        <w:spacing w:after="0" w:line="360" w:lineRule="auto"/>
        <w:ind w:firstLine="709"/>
        <w:jc w:val="both"/>
        <w:rPr>
          <w:rFonts w:ascii="Times New Roman" w:eastAsia="Segoe UI" w:hAnsi="Times New Roman" w:cs="Times New Roman"/>
          <w:sz w:val="24"/>
          <w:szCs w:val="24"/>
          <w:shd w:val="clear" w:color="auto" w:fill="FFFFFF"/>
          <w:lang w:eastAsia="zh-CN"/>
        </w:rPr>
      </w:pPr>
    </w:p>
    <w:p w14:paraId="0A21A73E" w14:textId="77777777" w:rsidR="0003312E" w:rsidRDefault="0003312E">
      <w:pPr>
        <w:spacing w:after="0" w:line="360" w:lineRule="auto"/>
        <w:ind w:firstLine="709"/>
        <w:jc w:val="both"/>
        <w:rPr>
          <w:rFonts w:ascii="Times New Roman" w:eastAsia="Segoe UI" w:hAnsi="Times New Roman" w:cs="Times New Roman"/>
          <w:sz w:val="24"/>
          <w:szCs w:val="24"/>
          <w:shd w:val="clear" w:color="auto" w:fill="FFFFFF"/>
          <w:lang w:eastAsia="zh-CN"/>
        </w:rPr>
      </w:pPr>
    </w:p>
    <w:p w14:paraId="4819BE47" w14:textId="77777777" w:rsidR="0003312E" w:rsidRDefault="00000000">
      <w:pPr>
        <w:spacing w:after="0" w:line="360" w:lineRule="auto"/>
        <w:ind w:firstLine="709"/>
        <w:jc w:val="both"/>
        <w:rPr>
          <w:rFonts w:ascii="Times New Roman" w:eastAsia="Segoe UI" w:hAnsi="Times New Roman" w:cs="Times New Roman"/>
          <w:b/>
          <w:bCs/>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Coma em Poucas Palavras: Quando a Consciência se Apaga</w:t>
      </w:r>
    </w:p>
    <w:p w14:paraId="1EA591F2"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Imagine um silêncio que não é paz, mas ausência. Um estado em que a consciência, aquilo que nos define como seres pensantes, simplesmente se apaga, deixando para trás um corpo que respira, um coração que bate, mas uma mente adormecida além de qualquer despertar. Este é o coma - um dos fenômenos mais enigmáticos e profundamente humanos, que desafia não apenas a medicina, mas nossa compreensão do que significa existir.</w:t>
      </w:r>
    </w:p>
    <w:p w14:paraId="50DCB6D2"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Ao longo da história, o coma foi visto como sono profundo, possessão divina ou demoníaca, e até como uma fronteira entre a vida e a morte. Hoje, a neurociência nos revela que ele é, na verdade, um colapso das redes neurais que sustentam a consciência. Mas será que essa explicação científica esgota todo o significado deste estado enigmático? Para explorar esta complexidade, convidamos você a percorrer quatro dimensões interligadas: a origem etimológica, que revela como antigamente entendíamos a inconsciência; a jornada histórica, dos templos gregos às modernas UTIs; a base neurocientífica, que desvenda os mecanismos do "silêncio neural"; e, finalmente, a dimensão filosófica, que nos confronta com questões essenciais sobre a vida, a morte e a natureza do "eu". Prepare-se para adentrar um território onde a ciência e o mistério se entrelaçam, e onde o silêncio do cérebro nos fala mais alto do que qualquer palavra.</w:t>
      </w:r>
    </w:p>
    <w:p w14:paraId="3E5E8230" w14:textId="77777777" w:rsidR="0003312E"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4AB5347E"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 xml:space="preserve">A Jornada da Palavra: De </w:t>
      </w:r>
      <w:proofErr w:type="spellStart"/>
      <w:r>
        <w:rPr>
          <w:rFonts w:ascii="Times New Roman" w:eastAsia="Segoe UI" w:hAnsi="Times New Roman" w:cs="Times New Roman"/>
          <w:b/>
          <w:bCs/>
          <w:sz w:val="24"/>
          <w:szCs w:val="24"/>
          <w:shd w:val="clear" w:color="auto" w:fill="FFFFFF"/>
          <w:lang w:eastAsia="zh-CN"/>
        </w:rPr>
        <w:t>Kôma</w:t>
      </w:r>
      <w:proofErr w:type="spellEnd"/>
      <w:r>
        <w:rPr>
          <w:rFonts w:ascii="Times New Roman" w:eastAsia="Segoe UI" w:hAnsi="Times New Roman" w:cs="Times New Roman"/>
          <w:b/>
          <w:bCs/>
          <w:sz w:val="24"/>
          <w:szCs w:val="24"/>
          <w:shd w:val="clear" w:color="auto" w:fill="FFFFFF"/>
          <w:lang w:eastAsia="zh-CN"/>
        </w:rPr>
        <w:t xml:space="preserve"> a Cushing</w:t>
      </w:r>
    </w:p>
    <w:p w14:paraId="24ABA370"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A história do coma reflete a trajetória da humanidade em transformar mistério em conhecimento, seguindo uma evolução cronológica marcante.</w:t>
      </w:r>
    </w:p>
    <w:p w14:paraId="67A9B51C"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Na Grécia Antiga, o termo </w:t>
      </w:r>
      <w:proofErr w:type="spellStart"/>
      <w:r>
        <w:rPr>
          <w:rFonts w:ascii="Times New Roman" w:eastAsia="Segoe UI" w:hAnsi="Times New Roman" w:cs="Times New Roman"/>
          <w:i/>
          <w:iCs/>
          <w:sz w:val="24"/>
          <w:szCs w:val="24"/>
          <w:shd w:val="clear" w:color="auto" w:fill="FFFFFF"/>
          <w:lang w:eastAsia="zh-CN"/>
        </w:rPr>
        <w:t>kôma</w:t>
      </w:r>
      <w:proofErr w:type="spellEnd"/>
      <w:r>
        <w:rPr>
          <w:rFonts w:ascii="Times New Roman" w:eastAsia="Segoe UI" w:hAnsi="Times New Roman" w:cs="Times New Roman"/>
          <w:sz w:val="24"/>
          <w:szCs w:val="24"/>
          <w:shd w:val="clear" w:color="auto" w:fill="FFFFFF"/>
          <w:lang w:eastAsia="zh-CN"/>
        </w:rPr>
        <w:t xml:space="preserve"> era puramente descritivo, usado por Hipócrates e Galeno para designar um torpor profundo, sem qualquer explicação fisiopatológica. Na Idade </w:t>
      </w:r>
      <w:r>
        <w:rPr>
          <w:rFonts w:ascii="Times New Roman" w:eastAsia="Segoe UI" w:hAnsi="Times New Roman" w:cs="Times New Roman"/>
          <w:sz w:val="24"/>
          <w:szCs w:val="24"/>
          <w:shd w:val="clear" w:color="auto" w:fill="FFFFFF"/>
          <w:lang w:eastAsia="zh-CN"/>
        </w:rPr>
        <w:lastRenderedPageBreak/>
        <w:t xml:space="preserve">Média, a incompreensão médica conferiu ao estado comatoso um caráter sobrenatural: o corpo presente, a mente ausente poderia estar </w:t>
      </w:r>
      <w:proofErr w:type="gramStart"/>
      <w:r>
        <w:rPr>
          <w:rFonts w:ascii="Times New Roman" w:eastAsia="Segoe UI" w:hAnsi="Times New Roman" w:cs="Times New Roman"/>
          <w:sz w:val="24"/>
          <w:szCs w:val="24"/>
          <w:shd w:val="clear" w:color="auto" w:fill="FFFFFF"/>
          <w:lang w:eastAsia="zh-CN"/>
        </w:rPr>
        <w:t>possuído</w:t>
      </w:r>
      <w:proofErr w:type="gramEnd"/>
      <w:r>
        <w:rPr>
          <w:rFonts w:ascii="Times New Roman" w:eastAsia="Segoe UI" w:hAnsi="Times New Roman" w:cs="Times New Roman"/>
          <w:sz w:val="24"/>
          <w:szCs w:val="24"/>
          <w:shd w:val="clear" w:color="auto" w:fill="FFFFFF"/>
          <w:lang w:eastAsia="zh-CN"/>
        </w:rPr>
        <w:t xml:space="preserve"> ou em êxtase divino. A medicina escolástica, ainda ligada aos humores galênicos, limitava-se a sangrias e preces.</w:t>
      </w:r>
    </w:p>
    <w:p w14:paraId="7495E090"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Nos séculos XVII e XVIII, as ideias permaneciam dominadas pela tradição hipocrática-galênica. Termos como letargia, "</w:t>
      </w:r>
      <w:proofErr w:type="spellStart"/>
      <w:r>
        <w:rPr>
          <w:rFonts w:ascii="Times New Roman" w:eastAsia="Segoe UI" w:hAnsi="Times New Roman" w:cs="Times New Roman"/>
          <w:sz w:val="24"/>
          <w:szCs w:val="24"/>
          <w:shd w:val="clear" w:color="auto" w:fill="FFFFFF"/>
          <w:lang w:eastAsia="zh-CN"/>
        </w:rPr>
        <w:t>carus</w:t>
      </w:r>
      <w:proofErr w:type="spellEnd"/>
      <w:r>
        <w:rPr>
          <w:rFonts w:ascii="Times New Roman" w:eastAsia="Segoe UI" w:hAnsi="Times New Roman" w:cs="Times New Roman"/>
          <w:sz w:val="24"/>
          <w:szCs w:val="24"/>
          <w:shd w:val="clear" w:color="auto" w:fill="FFFFFF"/>
          <w:lang w:eastAsia="zh-CN"/>
        </w:rPr>
        <w:t>" e apoplexia descreviam diferentes graus de inconsciência, atribuídos a desequilíbrios de "humores" no cérebro. O exame do paciente resumia-se a observar a respiração estertorosa, a resposta a estímulos violentos e a palpação do pulso, com a sangria como tratamento principal. Contudo, um avanço crucial surgiu com Thomas Willis no século XVII, que associou o estado a perturbações no "fluxo dos espíritos animais" - uma hipótese pré-científica, mas que pela primeira vez apontava o sistema nervoso como origem do problema.</w:t>
      </w:r>
    </w:p>
    <w:p w14:paraId="34D4FC02"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Com o avanço da anatomia patológica, médicos como Félix Vicq-</w:t>
      </w:r>
      <w:proofErr w:type="spellStart"/>
      <w:r>
        <w:rPr>
          <w:rFonts w:ascii="Times New Roman" w:eastAsia="Segoe UI" w:hAnsi="Times New Roman" w:cs="Times New Roman"/>
          <w:sz w:val="24"/>
          <w:szCs w:val="24"/>
          <w:shd w:val="clear" w:color="auto" w:fill="FFFFFF"/>
          <w:lang w:eastAsia="zh-CN"/>
        </w:rPr>
        <w:t>d'Azyr</w:t>
      </w:r>
      <w:proofErr w:type="spellEnd"/>
      <w:r>
        <w:rPr>
          <w:rFonts w:ascii="Times New Roman" w:eastAsia="Segoe UI" w:hAnsi="Times New Roman" w:cs="Times New Roman"/>
          <w:sz w:val="24"/>
          <w:szCs w:val="24"/>
          <w:shd w:val="clear" w:color="auto" w:fill="FFFFFF"/>
          <w:lang w:eastAsia="zh-CN"/>
        </w:rPr>
        <w:t xml:space="preserve"> e Pierre </w:t>
      </w:r>
      <w:proofErr w:type="spellStart"/>
      <w:r>
        <w:rPr>
          <w:rFonts w:ascii="Times New Roman" w:eastAsia="Segoe UI" w:hAnsi="Times New Roman" w:cs="Times New Roman"/>
          <w:sz w:val="24"/>
          <w:szCs w:val="24"/>
          <w:shd w:val="clear" w:color="auto" w:fill="FFFFFF"/>
          <w:lang w:eastAsia="zh-CN"/>
        </w:rPr>
        <w:t>Cabanis</w:t>
      </w:r>
      <w:proofErr w:type="spellEnd"/>
      <w:r>
        <w:rPr>
          <w:rFonts w:ascii="Times New Roman" w:eastAsia="Segoe UI" w:hAnsi="Times New Roman" w:cs="Times New Roman"/>
          <w:sz w:val="24"/>
          <w:szCs w:val="24"/>
          <w:shd w:val="clear" w:color="auto" w:fill="FFFFFF"/>
          <w:lang w:eastAsia="zh-CN"/>
        </w:rPr>
        <w:t xml:space="preserve"> começaram a correlacionar lesões cerebrais específicas ao estado comatoso, transformando o coma de um enigma metafísico em questão neuroanatômica. No final do século XIX, a medicina especializou-se e a ciência experimental ganhou espaço. Médicos como John </w:t>
      </w:r>
      <w:proofErr w:type="spellStart"/>
      <w:r>
        <w:rPr>
          <w:rFonts w:ascii="Times New Roman" w:eastAsia="Segoe UI" w:hAnsi="Times New Roman" w:cs="Times New Roman"/>
          <w:sz w:val="24"/>
          <w:szCs w:val="24"/>
          <w:shd w:val="clear" w:color="auto" w:fill="FFFFFF"/>
          <w:lang w:eastAsia="zh-CN"/>
        </w:rPr>
        <w:t>Cheyne</w:t>
      </w:r>
      <w:proofErr w:type="spellEnd"/>
      <w:r>
        <w:rPr>
          <w:rFonts w:ascii="Times New Roman" w:eastAsia="Segoe UI" w:hAnsi="Times New Roman" w:cs="Times New Roman"/>
          <w:sz w:val="24"/>
          <w:szCs w:val="24"/>
          <w:shd w:val="clear" w:color="auto" w:fill="FFFFFF"/>
          <w:lang w:eastAsia="zh-CN"/>
        </w:rPr>
        <w:t xml:space="preserve"> identificaram padrões respiratórios específicos, enquanto a investigação da pressão intracraniana por cirurgiões como Theodor </w:t>
      </w:r>
      <w:proofErr w:type="spellStart"/>
      <w:r>
        <w:rPr>
          <w:rFonts w:ascii="Times New Roman" w:eastAsia="Segoe UI" w:hAnsi="Times New Roman" w:cs="Times New Roman"/>
          <w:sz w:val="24"/>
          <w:szCs w:val="24"/>
          <w:shd w:val="clear" w:color="auto" w:fill="FFFFFF"/>
          <w:lang w:eastAsia="zh-CN"/>
        </w:rPr>
        <w:t>Kocher</w:t>
      </w:r>
      <w:proofErr w:type="spellEnd"/>
      <w:r>
        <w:rPr>
          <w:rFonts w:ascii="Times New Roman" w:eastAsia="Segoe UI" w:hAnsi="Times New Roman" w:cs="Times New Roman"/>
          <w:sz w:val="24"/>
          <w:szCs w:val="24"/>
          <w:shd w:val="clear" w:color="auto" w:fill="FFFFFF"/>
          <w:lang w:eastAsia="zh-CN"/>
        </w:rPr>
        <w:t xml:space="preserve"> revelou a relação vital entre pressão craniana, pressão arterial e consciência. O coma passou a ser visto como problema mecânico-circulatório, com intervenções descompressivas como a trepanação.</w:t>
      </w:r>
    </w:p>
    <w:p w14:paraId="69D4B0C4"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O ápice dessa transição ocorreu com Harvey Cushing (1869-1939), que incorporou rigor científico à neurocirurgia. Sua descrição da "Tríade de Cushing" - hipertensão arterial, bradicardia e irregularidade respiratória - estabeleceu-a como sinal de hipertensão intracraniana terminal, uma condição que frequentemente leva ao coma, consolidando-o como indicador mensurável de crise neurológica.</w:t>
      </w:r>
    </w:p>
    <w:p w14:paraId="1F8E3974"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 xml:space="preserve">Contudo, um enigma persistia: por que grandes lesões corticais nem sempre causavam coma, enquanto pequenas lesões no tronco cerebral sim? A resposta veio em meados do século XX com a descoberta do Sistema Ativador Reticular Ascendente (ARAS) por Horace </w:t>
      </w:r>
      <w:proofErr w:type="spellStart"/>
      <w:r>
        <w:rPr>
          <w:rFonts w:ascii="Times New Roman" w:eastAsia="Segoe UI" w:hAnsi="Times New Roman" w:cs="Times New Roman"/>
          <w:sz w:val="24"/>
          <w:szCs w:val="24"/>
          <w:shd w:val="clear" w:color="auto" w:fill="FFFFFF"/>
          <w:lang w:eastAsia="zh-CN"/>
        </w:rPr>
        <w:t>Magoun</w:t>
      </w:r>
      <w:proofErr w:type="spellEnd"/>
      <w:r>
        <w:rPr>
          <w:rFonts w:ascii="Times New Roman" w:eastAsia="Segoe UI" w:hAnsi="Times New Roman" w:cs="Times New Roman"/>
          <w:sz w:val="24"/>
          <w:szCs w:val="24"/>
          <w:shd w:val="clear" w:color="auto" w:fill="FFFFFF"/>
          <w:lang w:eastAsia="zh-CN"/>
        </w:rPr>
        <w:t xml:space="preserve"> e Giuseppe </w:t>
      </w:r>
      <w:proofErr w:type="spellStart"/>
      <w:r>
        <w:rPr>
          <w:rFonts w:ascii="Times New Roman" w:eastAsia="Segoe UI" w:hAnsi="Times New Roman" w:cs="Times New Roman"/>
          <w:sz w:val="24"/>
          <w:szCs w:val="24"/>
          <w:shd w:val="clear" w:color="auto" w:fill="FFFFFF"/>
          <w:lang w:eastAsia="zh-CN"/>
        </w:rPr>
        <w:t>Moruzzi</w:t>
      </w:r>
      <w:proofErr w:type="spellEnd"/>
      <w:r>
        <w:rPr>
          <w:rFonts w:ascii="Times New Roman" w:eastAsia="Segoe UI" w:hAnsi="Times New Roman" w:cs="Times New Roman"/>
          <w:sz w:val="24"/>
          <w:szCs w:val="24"/>
          <w:shd w:val="clear" w:color="auto" w:fill="FFFFFF"/>
          <w:lang w:eastAsia="zh-CN"/>
        </w:rPr>
        <w:t>. Através de experimentos com animais, identificaram uma rede neuronal no tronco cerebral responsável por "ligar" o cérebro e manter a vigília.</w:t>
      </w:r>
    </w:p>
    <w:p w14:paraId="2E3EE059"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 xml:space="preserve">Na década de 1960, as obras seminais de Fisher, </w:t>
      </w:r>
      <w:proofErr w:type="spellStart"/>
      <w:r>
        <w:rPr>
          <w:rFonts w:ascii="Times New Roman" w:eastAsia="Segoe UI" w:hAnsi="Times New Roman" w:cs="Times New Roman"/>
          <w:sz w:val="24"/>
          <w:szCs w:val="24"/>
          <w:shd w:val="clear" w:color="auto" w:fill="FFFFFF"/>
          <w:lang w:eastAsia="zh-CN"/>
        </w:rPr>
        <w:t>Plum</w:t>
      </w:r>
      <w:proofErr w:type="spellEnd"/>
      <w:r>
        <w:rPr>
          <w:rFonts w:ascii="Times New Roman" w:eastAsia="Segoe UI" w:hAnsi="Times New Roman" w:cs="Times New Roman"/>
          <w:sz w:val="24"/>
          <w:szCs w:val="24"/>
          <w:shd w:val="clear" w:color="auto" w:fill="FFFFFF"/>
          <w:lang w:eastAsia="zh-CN"/>
        </w:rPr>
        <w:t xml:space="preserve"> e </w:t>
      </w:r>
      <w:proofErr w:type="spellStart"/>
      <w:r>
        <w:rPr>
          <w:rFonts w:ascii="Times New Roman" w:eastAsia="Segoe UI" w:hAnsi="Times New Roman" w:cs="Times New Roman"/>
          <w:sz w:val="24"/>
          <w:szCs w:val="24"/>
          <w:shd w:val="clear" w:color="auto" w:fill="FFFFFF"/>
          <w:lang w:eastAsia="zh-CN"/>
        </w:rPr>
        <w:t>Posner</w:t>
      </w:r>
      <w:proofErr w:type="spellEnd"/>
      <w:r>
        <w:rPr>
          <w:rFonts w:ascii="Times New Roman" w:eastAsia="Segoe UI" w:hAnsi="Times New Roman" w:cs="Times New Roman"/>
          <w:sz w:val="24"/>
          <w:szCs w:val="24"/>
          <w:shd w:val="clear" w:color="auto" w:fill="FFFFFF"/>
          <w:lang w:eastAsia="zh-CN"/>
        </w:rPr>
        <w:t xml:space="preserve"> consolidaram séculos de observações em um exame clínico sistemático. Eles recapitularam os sinais - das pupilas aos reflexos do tronco cerebral - em um método lógico que permitia não apenas diagnosticar o coma, mas localizar sua causa no sistema nervoso. Este foi o marco final que transformou a abordagem do coma de observação passiva para diagnóstico ativo e estruturado.</w:t>
      </w:r>
    </w:p>
    <w:p w14:paraId="3D317B91" w14:textId="77777777" w:rsidR="0003312E"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2E5E3D39"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Quadro 2.1 - A Evolução do Coma: Do Mistério ao Mecanismo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28"/>
        <w:gridCol w:w="2692"/>
        <w:gridCol w:w="3741"/>
      </w:tblGrid>
      <w:tr w:rsidR="0003312E" w14:paraId="4E2FBE57" w14:textId="77777777">
        <w:trPr>
          <w:tblHeader/>
        </w:trPr>
        <w:tc>
          <w:tcPr>
            <w:tcW w:w="0" w:type="auto"/>
            <w:tcMar>
              <w:top w:w="150" w:type="dxa"/>
              <w:left w:w="0" w:type="dxa"/>
              <w:bottom w:w="150" w:type="dxa"/>
              <w:right w:w="240" w:type="dxa"/>
            </w:tcMar>
            <w:vAlign w:val="center"/>
          </w:tcPr>
          <w:p w14:paraId="705F7B7C"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Época</w:t>
            </w:r>
          </w:p>
        </w:tc>
        <w:tc>
          <w:tcPr>
            <w:tcW w:w="0" w:type="auto"/>
            <w:tcMar>
              <w:top w:w="150" w:type="dxa"/>
              <w:left w:w="240" w:type="dxa"/>
              <w:bottom w:w="150" w:type="dxa"/>
              <w:right w:w="240" w:type="dxa"/>
            </w:tcMar>
            <w:vAlign w:val="center"/>
          </w:tcPr>
          <w:p w14:paraId="1A1144B4"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Marco</w:t>
            </w:r>
          </w:p>
        </w:tc>
        <w:tc>
          <w:tcPr>
            <w:tcW w:w="0" w:type="auto"/>
            <w:tcMar>
              <w:top w:w="150" w:type="dxa"/>
              <w:left w:w="240" w:type="dxa"/>
              <w:bottom w:w="150" w:type="dxa"/>
              <w:right w:w="240" w:type="dxa"/>
            </w:tcMar>
            <w:vAlign w:val="center"/>
          </w:tcPr>
          <w:p w14:paraId="23855C39"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Significado e Impacto</w:t>
            </w:r>
          </w:p>
        </w:tc>
      </w:tr>
      <w:tr w:rsidR="0003312E" w14:paraId="5F197654" w14:textId="77777777">
        <w:tc>
          <w:tcPr>
            <w:tcW w:w="0" w:type="auto"/>
            <w:tcMar>
              <w:top w:w="150" w:type="dxa"/>
              <w:left w:w="0" w:type="dxa"/>
              <w:bottom w:w="150" w:type="dxa"/>
              <w:right w:w="240" w:type="dxa"/>
            </w:tcMar>
            <w:vAlign w:val="center"/>
          </w:tcPr>
          <w:p w14:paraId="18A5DBF6"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Grécia Antiga (séc. VIII a.C.)</w:t>
            </w:r>
          </w:p>
        </w:tc>
        <w:tc>
          <w:tcPr>
            <w:tcW w:w="0" w:type="auto"/>
            <w:tcMar>
              <w:top w:w="150" w:type="dxa"/>
              <w:left w:w="240" w:type="dxa"/>
              <w:bottom w:w="150" w:type="dxa"/>
              <w:right w:w="240" w:type="dxa"/>
            </w:tcMar>
            <w:vAlign w:val="center"/>
          </w:tcPr>
          <w:p w14:paraId="2DF4235E"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proofErr w:type="spellStart"/>
            <w:r>
              <w:rPr>
                <w:rFonts w:ascii="Times New Roman" w:eastAsia="Segoe UI" w:hAnsi="Times New Roman" w:cs="Times New Roman"/>
                <w:i/>
                <w:iCs/>
                <w:sz w:val="20"/>
                <w:szCs w:val="20"/>
                <w:shd w:val="clear" w:color="auto" w:fill="FFFFFF"/>
                <w:lang w:eastAsia="zh-CN"/>
              </w:rPr>
              <w:t>kôma</w:t>
            </w:r>
            <w:proofErr w:type="spellEnd"/>
            <w:r>
              <w:rPr>
                <w:rFonts w:ascii="Times New Roman" w:eastAsia="Segoe UI" w:hAnsi="Times New Roman" w:cs="Times New Roman"/>
                <w:sz w:val="20"/>
                <w:szCs w:val="20"/>
                <w:shd w:val="clear" w:color="auto" w:fill="FFFFFF"/>
                <w:lang w:eastAsia="zh-CN"/>
              </w:rPr>
              <w:t> na Ilíada</w:t>
            </w:r>
          </w:p>
        </w:tc>
        <w:tc>
          <w:tcPr>
            <w:tcW w:w="0" w:type="auto"/>
            <w:tcMar>
              <w:top w:w="150" w:type="dxa"/>
              <w:left w:w="240" w:type="dxa"/>
              <w:bottom w:w="150" w:type="dxa"/>
              <w:right w:w="0" w:type="dxa"/>
            </w:tcMar>
            <w:vAlign w:val="center"/>
          </w:tcPr>
          <w:p w14:paraId="09FD8D11"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Torpor próximo da inconsciência; observação clínica primitiva</w:t>
            </w:r>
          </w:p>
        </w:tc>
      </w:tr>
      <w:tr w:rsidR="0003312E" w14:paraId="4696AB57" w14:textId="77777777">
        <w:tc>
          <w:tcPr>
            <w:tcW w:w="0" w:type="auto"/>
            <w:tcMar>
              <w:top w:w="150" w:type="dxa"/>
              <w:left w:w="0" w:type="dxa"/>
              <w:bottom w:w="150" w:type="dxa"/>
              <w:right w:w="240" w:type="dxa"/>
            </w:tcMar>
            <w:vAlign w:val="center"/>
          </w:tcPr>
          <w:p w14:paraId="6EDD5459"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Medicina Grega (Hipócrates, Galeno)</w:t>
            </w:r>
          </w:p>
        </w:tc>
        <w:tc>
          <w:tcPr>
            <w:tcW w:w="0" w:type="auto"/>
            <w:tcMar>
              <w:top w:w="150" w:type="dxa"/>
              <w:left w:w="240" w:type="dxa"/>
              <w:bottom w:w="150" w:type="dxa"/>
              <w:right w:w="240" w:type="dxa"/>
            </w:tcMar>
            <w:vAlign w:val="center"/>
          </w:tcPr>
          <w:p w14:paraId="3BF9C063"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Adoção no corpus médico</w:t>
            </w:r>
          </w:p>
        </w:tc>
        <w:tc>
          <w:tcPr>
            <w:tcW w:w="0" w:type="auto"/>
            <w:tcMar>
              <w:top w:w="150" w:type="dxa"/>
              <w:left w:w="240" w:type="dxa"/>
              <w:bottom w:w="150" w:type="dxa"/>
              <w:right w:w="0" w:type="dxa"/>
            </w:tcMar>
            <w:vAlign w:val="center"/>
          </w:tcPr>
          <w:p w14:paraId="775658B9"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Estado observado, sem compreensão fisiopatológica</w:t>
            </w:r>
          </w:p>
        </w:tc>
      </w:tr>
      <w:tr w:rsidR="0003312E" w14:paraId="0A10DFF1" w14:textId="77777777">
        <w:tc>
          <w:tcPr>
            <w:tcW w:w="0" w:type="auto"/>
            <w:tcMar>
              <w:top w:w="150" w:type="dxa"/>
              <w:left w:w="0" w:type="dxa"/>
              <w:bottom w:w="150" w:type="dxa"/>
              <w:right w:w="240" w:type="dxa"/>
            </w:tcMar>
            <w:vAlign w:val="center"/>
          </w:tcPr>
          <w:p w14:paraId="1D380572"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Idade Média e Renascimento</w:t>
            </w:r>
          </w:p>
        </w:tc>
        <w:tc>
          <w:tcPr>
            <w:tcW w:w="0" w:type="auto"/>
            <w:tcMar>
              <w:top w:w="150" w:type="dxa"/>
              <w:left w:w="240" w:type="dxa"/>
              <w:bottom w:w="150" w:type="dxa"/>
              <w:right w:w="240" w:type="dxa"/>
            </w:tcMar>
            <w:vAlign w:val="center"/>
          </w:tcPr>
          <w:p w14:paraId="09359BEB"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Interpretação sobrenatural</w:t>
            </w:r>
          </w:p>
        </w:tc>
        <w:tc>
          <w:tcPr>
            <w:tcW w:w="0" w:type="auto"/>
            <w:tcMar>
              <w:top w:w="150" w:type="dxa"/>
              <w:left w:w="240" w:type="dxa"/>
              <w:bottom w:w="150" w:type="dxa"/>
              <w:right w:w="0" w:type="dxa"/>
            </w:tcMar>
            <w:vAlign w:val="center"/>
          </w:tcPr>
          <w:p w14:paraId="68AB2E02"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Corpo presente, mente ausente; visão demoníaca ou divina</w:t>
            </w:r>
          </w:p>
        </w:tc>
      </w:tr>
      <w:tr w:rsidR="0003312E" w14:paraId="3DBC93C2" w14:textId="77777777">
        <w:tc>
          <w:tcPr>
            <w:tcW w:w="0" w:type="auto"/>
            <w:tcMar>
              <w:top w:w="150" w:type="dxa"/>
              <w:left w:w="0" w:type="dxa"/>
              <w:bottom w:w="150" w:type="dxa"/>
              <w:right w:w="240" w:type="dxa"/>
            </w:tcMar>
            <w:vAlign w:val="center"/>
          </w:tcPr>
          <w:p w14:paraId="446BD287"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Século XVII</w:t>
            </w:r>
          </w:p>
        </w:tc>
        <w:tc>
          <w:tcPr>
            <w:tcW w:w="0" w:type="auto"/>
            <w:tcMar>
              <w:top w:w="150" w:type="dxa"/>
              <w:left w:w="240" w:type="dxa"/>
              <w:bottom w:w="150" w:type="dxa"/>
              <w:right w:w="240" w:type="dxa"/>
            </w:tcMar>
            <w:vAlign w:val="center"/>
          </w:tcPr>
          <w:p w14:paraId="777864CC"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Thomas Willis</w:t>
            </w:r>
          </w:p>
        </w:tc>
        <w:tc>
          <w:tcPr>
            <w:tcW w:w="0" w:type="auto"/>
            <w:tcMar>
              <w:top w:w="150" w:type="dxa"/>
              <w:left w:w="240" w:type="dxa"/>
              <w:bottom w:w="150" w:type="dxa"/>
              <w:right w:w="0" w:type="dxa"/>
            </w:tcMar>
            <w:vAlign w:val="center"/>
          </w:tcPr>
          <w:p w14:paraId="60BFEB8E"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Primeira associação com perturbações cerebrais</w:t>
            </w:r>
          </w:p>
        </w:tc>
      </w:tr>
      <w:tr w:rsidR="0003312E" w14:paraId="091E0FE4" w14:textId="77777777">
        <w:tc>
          <w:tcPr>
            <w:tcW w:w="0" w:type="auto"/>
            <w:tcMar>
              <w:top w:w="150" w:type="dxa"/>
              <w:left w:w="0" w:type="dxa"/>
              <w:bottom w:w="150" w:type="dxa"/>
              <w:right w:w="240" w:type="dxa"/>
            </w:tcMar>
            <w:vAlign w:val="center"/>
          </w:tcPr>
          <w:p w14:paraId="067D45E8"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Séculos XVIII-XIX</w:t>
            </w:r>
          </w:p>
        </w:tc>
        <w:tc>
          <w:tcPr>
            <w:tcW w:w="0" w:type="auto"/>
            <w:tcMar>
              <w:top w:w="150" w:type="dxa"/>
              <w:left w:w="240" w:type="dxa"/>
              <w:bottom w:w="150" w:type="dxa"/>
              <w:right w:w="240" w:type="dxa"/>
            </w:tcMar>
            <w:vAlign w:val="center"/>
          </w:tcPr>
          <w:p w14:paraId="0EEF9340"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Anatomia Patológica</w:t>
            </w:r>
          </w:p>
        </w:tc>
        <w:tc>
          <w:tcPr>
            <w:tcW w:w="0" w:type="auto"/>
            <w:tcMar>
              <w:top w:w="150" w:type="dxa"/>
              <w:left w:w="240" w:type="dxa"/>
              <w:bottom w:w="150" w:type="dxa"/>
              <w:right w:w="0" w:type="dxa"/>
            </w:tcMar>
            <w:vAlign w:val="center"/>
          </w:tcPr>
          <w:p w14:paraId="17F0BA0C"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Correlação entre lesões cerebrais e coma</w:t>
            </w:r>
          </w:p>
        </w:tc>
      </w:tr>
      <w:tr w:rsidR="0003312E" w14:paraId="347818F7" w14:textId="77777777">
        <w:tc>
          <w:tcPr>
            <w:tcW w:w="0" w:type="auto"/>
            <w:tcMar>
              <w:top w:w="150" w:type="dxa"/>
              <w:left w:w="0" w:type="dxa"/>
              <w:bottom w:w="150" w:type="dxa"/>
              <w:right w:w="240" w:type="dxa"/>
            </w:tcMar>
            <w:vAlign w:val="center"/>
          </w:tcPr>
          <w:p w14:paraId="615453C6"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Início do séc. XX</w:t>
            </w:r>
          </w:p>
        </w:tc>
        <w:tc>
          <w:tcPr>
            <w:tcW w:w="0" w:type="auto"/>
            <w:tcMar>
              <w:top w:w="150" w:type="dxa"/>
              <w:left w:w="240" w:type="dxa"/>
              <w:bottom w:w="150" w:type="dxa"/>
              <w:right w:w="240" w:type="dxa"/>
            </w:tcMar>
            <w:vAlign w:val="center"/>
          </w:tcPr>
          <w:p w14:paraId="7B1ECABD"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Harvey Cushing</w:t>
            </w:r>
          </w:p>
        </w:tc>
        <w:tc>
          <w:tcPr>
            <w:tcW w:w="0" w:type="auto"/>
            <w:tcMar>
              <w:top w:w="150" w:type="dxa"/>
              <w:left w:w="240" w:type="dxa"/>
              <w:bottom w:w="150" w:type="dxa"/>
              <w:right w:w="0" w:type="dxa"/>
            </w:tcMar>
            <w:vAlign w:val="center"/>
          </w:tcPr>
          <w:p w14:paraId="67549F81"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Tríade de Cushing como sinal de hipertensão intracraniana</w:t>
            </w:r>
          </w:p>
        </w:tc>
      </w:tr>
      <w:tr w:rsidR="0003312E" w14:paraId="3A3BC3E0" w14:textId="77777777">
        <w:tc>
          <w:tcPr>
            <w:tcW w:w="0" w:type="auto"/>
            <w:tcMar>
              <w:top w:w="150" w:type="dxa"/>
              <w:left w:w="0" w:type="dxa"/>
              <w:bottom w:w="150" w:type="dxa"/>
              <w:right w:w="240" w:type="dxa"/>
            </w:tcMar>
            <w:vAlign w:val="center"/>
          </w:tcPr>
          <w:p w14:paraId="7E62944B"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Séculos XX-XXI</w:t>
            </w:r>
          </w:p>
        </w:tc>
        <w:tc>
          <w:tcPr>
            <w:tcW w:w="0" w:type="auto"/>
            <w:tcMar>
              <w:top w:w="150" w:type="dxa"/>
              <w:left w:w="240" w:type="dxa"/>
              <w:bottom w:w="150" w:type="dxa"/>
              <w:right w:w="240" w:type="dxa"/>
            </w:tcMar>
            <w:vAlign w:val="center"/>
          </w:tcPr>
          <w:p w14:paraId="26DFF5E9"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Escala de Coma de Glasgow (1974)</w:t>
            </w:r>
          </w:p>
        </w:tc>
        <w:tc>
          <w:tcPr>
            <w:tcW w:w="0" w:type="auto"/>
            <w:tcMar>
              <w:top w:w="150" w:type="dxa"/>
              <w:left w:w="240" w:type="dxa"/>
              <w:bottom w:w="150" w:type="dxa"/>
              <w:right w:w="0" w:type="dxa"/>
            </w:tcMar>
            <w:vAlign w:val="center"/>
          </w:tcPr>
          <w:p w14:paraId="78E9BE70"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Sistema padronizado para avaliação da consciência</w:t>
            </w:r>
          </w:p>
        </w:tc>
      </w:tr>
      <w:tr w:rsidR="0003312E" w14:paraId="1B8A4799" w14:textId="77777777">
        <w:tc>
          <w:tcPr>
            <w:tcW w:w="0" w:type="auto"/>
            <w:tcMar>
              <w:top w:w="150" w:type="dxa"/>
              <w:left w:w="0" w:type="dxa"/>
              <w:bottom w:w="150" w:type="dxa"/>
              <w:right w:w="240" w:type="dxa"/>
            </w:tcMar>
            <w:vAlign w:val="center"/>
          </w:tcPr>
          <w:p w14:paraId="21D64583"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Séculos XX-XXI</w:t>
            </w:r>
          </w:p>
        </w:tc>
        <w:tc>
          <w:tcPr>
            <w:tcW w:w="0" w:type="auto"/>
            <w:tcMar>
              <w:top w:w="150" w:type="dxa"/>
              <w:left w:w="240" w:type="dxa"/>
              <w:bottom w:w="150" w:type="dxa"/>
              <w:right w:w="240" w:type="dxa"/>
            </w:tcMar>
            <w:vAlign w:val="center"/>
          </w:tcPr>
          <w:p w14:paraId="343583F7"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 xml:space="preserve">Tecnologias de imagem (TAC, </w:t>
            </w:r>
            <w:proofErr w:type="spellStart"/>
            <w:r>
              <w:rPr>
                <w:rFonts w:ascii="Times New Roman" w:eastAsia="Segoe UI" w:hAnsi="Times New Roman" w:cs="Times New Roman"/>
                <w:sz w:val="20"/>
                <w:szCs w:val="20"/>
                <w:shd w:val="clear" w:color="auto" w:fill="FFFFFF"/>
                <w:lang w:eastAsia="zh-CN"/>
              </w:rPr>
              <w:t>fMRI</w:t>
            </w:r>
            <w:proofErr w:type="spellEnd"/>
            <w:r>
              <w:rPr>
                <w:rFonts w:ascii="Times New Roman" w:eastAsia="Segoe UI" w:hAnsi="Times New Roman" w:cs="Times New Roman"/>
                <w:sz w:val="20"/>
                <w:szCs w:val="20"/>
                <w:shd w:val="clear" w:color="auto" w:fill="FFFFFF"/>
                <w:lang w:eastAsia="zh-CN"/>
              </w:rPr>
              <w:t>)</w:t>
            </w:r>
          </w:p>
        </w:tc>
        <w:tc>
          <w:tcPr>
            <w:tcW w:w="0" w:type="auto"/>
            <w:tcMar>
              <w:top w:w="150" w:type="dxa"/>
              <w:left w:w="240" w:type="dxa"/>
              <w:bottom w:w="150" w:type="dxa"/>
              <w:right w:w="0" w:type="dxa"/>
            </w:tcMar>
            <w:vAlign w:val="center"/>
          </w:tcPr>
          <w:p w14:paraId="04145840"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Visualização de estrutura e função cerebral</w:t>
            </w:r>
          </w:p>
        </w:tc>
      </w:tr>
      <w:tr w:rsidR="0003312E" w14:paraId="10244D9D" w14:textId="77777777">
        <w:tc>
          <w:tcPr>
            <w:tcW w:w="0" w:type="auto"/>
            <w:tcMar>
              <w:top w:w="150" w:type="dxa"/>
              <w:left w:w="0" w:type="dxa"/>
              <w:bottom w:w="150" w:type="dxa"/>
              <w:right w:w="240" w:type="dxa"/>
            </w:tcMar>
            <w:vAlign w:val="center"/>
          </w:tcPr>
          <w:p w14:paraId="22E982D7"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Séculos XX-XXI</w:t>
            </w:r>
          </w:p>
        </w:tc>
        <w:tc>
          <w:tcPr>
            <w:tcW w:w="0" w:type="auto"/>
            <w:tcMar>
              <w:top w:w="150" w:type="dxa"/>
              <w:left w:w="240" w:type="dxa"/>
              <w:bottom w:w="150" w:type="dxa"/>
              <w:right w:w="240" w:type="dxa"/>
            </w:tcMar>
            <w:vAlign w:val="center"/>
          </w:tcPr>
          <w:p w14:paraId="734D25CE"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Estudos da Rede de Modo Padrão</w:t>
            </w:r>
          </w:p>
        </w:tc>
        <w:tc>
          <w:tcPr>
            <w:tcW w:w="0" w:type="auto"/>
            <w:tcMar>
              <w:top w:w="150" w:type="dxa"/>
              <w:left w:w="240" w:type="dxa"/>
              <w:bottom w:w="150" w:type="dxa"/>
              <w:right w:w="0" w:type="dxa"/>
            </w:tcMar>
            <w:vAlign w:val="center"/>
          </w:tcPr>
          <w:p w14:paraId="71B03669"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Base neurofisiológica para perda da consciência</w:t>
            </w:r>
          </w:p>
        </w:tc>
      </w:tr>
    </w:tbl>
    <w:p w14:paraId="5BC23010" w14:textId="77777777" w:rsidR="0003312E" w:rsidRDefault="0003312E">
      <w:pPr>
        <w:spacing w:after="0" w:line="360" w:lineRule="auto"/>
        <w:ind w:firstLine="709"/>
        <w:jc w:val="both"/>
        <w:rPr>
          <w:rFonts w:ascii="Times New Roman" w:eastAsia="Segoe UI" w:hAnsi="Times New Roman" w:cs="Times New Roman"/>
          <w:sz w:val="24"/>
          <w:szCs w:val="24"/>
          <w:shd w:val="clear" w:color="auto" w:fill="FFFFFF"/>
          <w:lang w:eastAsia="zh-CN"/>
        </w:rPr>
      </w:pPr>
    </w:p>
    <w:p w14:paraId="43BAC036"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Em Essência: as Quatro Dimensões do Coma</w:t>
      </w:r>
    </w:p>
    <w:p w14:paraId="6E6CAEC2"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1. A Dimensão Etimológica: O Sono que Não é Sono</w:t>
      </w:r>
      <w:r>
        <w:rPr>
          <w:rFonts w:ascii="Times New Roman" w:eastAsia="Segoe UI" w:hAnsi="Times New Roman" w:cs="Times New Roman"/>
          <w:sz w:val="24"/>
          <w:szCs w:val="24"/>
          <w:shd w:val="clear" w:color="auto" w:fill="FFFFFF"/>
          <w:lang w:eastAsia="zh-CN"/>
        </w:rPr>
        <w:br/>
        <w:t xml:space="preserve">A origem do termo "coma" revela muito sobre nossa percepção histórica da consciência. Vem do grego </w:t>
      </w:r>
      <w:proofErr w:type="spellStart"/>
      <w:r>
        <w:rPr>
          <w:rFonts w:ascii="Times New Roman" w:eastAsia="Segoe UI" w:hAnsi="Times New Roman" w:cs="Times New Roman"/>
          <w:sz w:val="24"/>
          <w:szCs w:val="24"/>
          <w:shd w:val="clear" w:color="auto" w:fill="FFFFFF"/>
          <w:lang w:eastAsia="zh-CN"/>
        </w:rPr>
        <w:t>kôma</w:t>
      </w:r>
      <w:proofErr w:type="spellEnd"/>
      <w:r>
        <w:rPr>
          <w:rFonts w:ascii="Times New Roman" w:eastAsia="Segoe UI" w:hAnsi="Times New Roman" w:cs="Times New Roman"/>
          <w:sz w:val="24"/>
          <w:szCs w:val="24"/>
          <w:shd w:val="clear" w:color="auto" w:fill="FFFFFF"/>
          <w:lang w:eastAsia="zh-CN"/>
        </w:rPr>
        <w:t xml:space="preserve">, que na Ilíada indicava um torpor quase absoluto, diferente do sono comum. Essa raiz se conecta a </w:t>
      </w:r>
      <w:proofErr w:type="spellStart"/>
      <w:r>
        <w:rPr>
          <w:rFonts w:ascii="Times New Roman" w:eastAsia="Segoe UI" w:hAnsi="Times New Roman" w:cs="Times New Roman"/>
          <w:sz w:val="24"/>
          <w:szCs w:val="24"/>
          <w:shd w:val="clear" w:color="auto" w:fill="FFFFFF"/>
          <w:lang w:eastAsia="zh-CN"/>
        </w:rPr>
        <w:t>koimētērion</w:t>
      </w:r>
      <w:proofErr w:type="spellEnd"/>
      <w:r>
        <w:rPr>
          <w:rFonts w:ascii="Times New Roman" w:eastAsia="Segoe UI" w:hAnsi="Times New Roman" w:cs="Times New Roman"/>
          <w:sz w:val="24"/>
          <w:szCs w:val="24"/>
          <w:shd w:val="clear" w:color="auto" w:fill="FFFFFF"/>
          <w:lang w:eastAsia="zh-CN"/>
        </w:rPr>
        <w:t>, o "local para adormecer eternamente", reforçando a ideia de um repouso que ultrapassa o sono habitual. Antes da neuroimagem, a única pista era a aparência: o paciente parecia dormir, mas não respondia a estímulos. A linguagem, assim, capturou a experiência antes da ciência, criando um termo que persiste como metáfora de um sono que não cede, de uma ausência que permanece.</w:t>
      </w:r>
    </w:p>
    <w:p w14:paraId="5A792BD5" w14:textId="77777777" w:rsidR="0003312E"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75935ED2"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2. A Dimensão Histórico-Clínica: Da Possessão à Pressão Intracraniana</w:t>
      </w:r>
    </w:p>
    <w:p w14:paraId="31A99354"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 xml:space="preserve">A compreensão clínica do coma traça uma jornada de dessacralização progressiva, da esfera sobrenatural ao domínio científico. Já nos textos hipocráticos, identificam-se registros </w:t>
      </w:r>
      <w:r>
        <w:rPr>
          <w:rFonts w:ascii="Times New Roman" w:eastAsia="Segoe UI" w:hAnsi="Times New Roman" w:cs="Times New Roman"/>
          <w:sz w:val="24"/>
          <w:szCs w:val="24"/>
          <w:shd w:val="clear" w:color="auto" w:fill="FFFFFF"/>
          <w:lang w:eastAsia="zh-CN"/>
        </w:rPr>
        <w:lastRenderedPageBreak/>
        <w:t>sistemáticos do coma como sinal clínico relevante. Observações precisas documentavam sua associação com feridas temporais - considerada de natureza grave - e seu surgimento no curso de febres persistentes, onde era descrito como "disposição para o coma" ou apresentando-se conjuntamente com estupor e febre contínua (LEWIS; SHORT, 1879).</w:t>
      </w:r>
    </w:p>
    <w:p w14:paraId="5185CCDD"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Na Idade Média, a ausência de consciência migrou do campo clínico para o teológico, sendo frequentemente interpretada como possessão demoníaca ou graça divina. Esta visão refletia as limitações da medicina medieval, ainda cativa da teoria humoral galênica, onde tratamentos se restringiam a sangrias e preces.</w:t>
      </w:r>
    </w:p>
    <w:p w14:paraId="151121D7"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O século XVII testemunhou a primeira tentativa de reconectar o coma ao cérebro através de Thomas Willis, que propôs a teoria do "fluxo dos espíritos animais" - ainda uma hipótese pré-científica, mas que representava um avanço conceitual crucial. Nos séculos XVIII e XIX, com o florescimento da anatomia patológica, médicos como Vicq-</w:t>
      </w:r>
      <w:proofErr w:type="spellStart"/>
      <w:r>
        <w:rPr>
          <w:rFonts w:ascii="Times New Roman" w:eastAsia="Segoe UI" w:hAnsi="Times New Roman" w:cs="Times New Roman"/>
          <w:sz w:val="24"/>
          <w:szCs w:val="24"/>
          <w:shd w:val="clear" w:color="auto" w:fill="FFFFFF"/>
          <w:lang w:eastAsia="zh-CN"/>
        </w:rPr>
        <w:t>d'Azyr</w:t>
      </w:r>
      <w:proofErr w:type="spellEnd"/>
      <w:r>
        <w:rPr>
          <w:rFonts w:ascii="Times New Roman" w:eastAsia="Segoe UI" w:hAnsi="Times New Roman" w:cs="Times New Roman"/>
          <w:sz w:val="24"/>
          <w:szCs w:val="24"/>
          <w:shd w:val="clear" w:color="auto" w:fill="FFFFFF"/>
          <w:lang w:eastAsia="zh-CN"/>
        </w:rPr>
        <w:t xml:space="preserve"> e </w:t>
      </w:r>
      <w:proofErr w:type="spellStart"/>
      <w:r>
        <w:rPr>
          <w:rFonts w:ascii="Times New Roman" w:eastAsia="Segoe UI" w:hAnsi="Times New Roman" w:cs="Times New Roman"/>
          <w:sz w:val="24"/>
          <w:szCs w:val="24"/>
          <w:shd w:val="clear" w:color="auto" w:fill="FFFFFF"/>
          <w:lang w:eastAsia="zh-CN"/>
        </w:rPr>
        <w:t>Cabanis</w:t>
      </w:r>
      <w:proofErr w:type="spellEnd"/>
      <w:r>
        <w:rPr>
          <w:rFonts w:ascii="Times New Roman" w:eastAsia="Segoe UI" w:hAnsi="Times New Roman" w:cs="Times New Roman"/>
          <w:sz w:val="24"/>
          <w:szCs w:val="24"/>
          <w:shd w:val="clear" w:color="auto" w:fill="FFFFFF"/>
          <w:lang w:eastAsia="zh-CN"/>
        </w:rPr>
        <w:t xml:space="preserve"> começaram a correlacionar sistematicamente lesões cerebrais específicas com estados comatosos, transformando definitivamente o fenômeno de mistério teológico em questão neuroanatômica.</w:t>
      </w:r>
    </w:p>
    <w:p w14:paraId="4D4BE9A1"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A consolidação final desta transição ocorreu com Harvey Cushing no início do século XX, que demonstrou a relação causal entre hipertensão intracraniana e o estado comatoso. Sua abordagem estabeleceu o coma como sintoma mensurável de crise neurológica, lançando as bases da neurologia moderna e completando a jornada secular que transformou a compreensão deste estado de enigma metafísico em entidade clínica precisamente definida.</w:t>
      </w:r>
    </w:p>
    <w:p w14:paraId="744EABFD" w14:textId="77777777" w:rsidR="0003312E" w:rsidRDefault="0003312E">
      <w:pPr>
        <w:spacing w:after="0" w:line="360" w:lineRule="auto"/>
        <w:ind w:firstLine="709"/>
        <w:jc w:val="both"/>
        <w:rPr>
          <w:rFonts w:ascii="Times New Roman" w:eastAsia="Segoe UI" w:hAnsi="Times New Roman" w:cs="Times New Roman"/>
          <w:sz w:val="24"/>
          <w:szCs w:val="24"/>
          <w:shd w:val="clear" w:color="auto" w:fill="FFFFFF"/>
          <w:lang w:eastAsia="zh-CN"/>
        </w:rPr>
      </w:pPr>
    </w:p>
    <w:p w14:paraId="0928F556"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3. A Dimensão Neurocientífica: A Arquitetura do Silêncio</w:t>
      </w:r>
      <w:r>
        <w:rPr>
          <w:rFonts w:ascii="Times New Roman" w:eastAsia="Segoe UI" w:hAnsi="Times New Roman" w:cs="Times New Roman"/>
          <w:sz w:val="24"/>
          <w:szCs w:val="24"/>
          <w:shd w:val="clear" w:color="auto" w:fill="FFFFFF"/>
          <w:lang w:eastAsia="zh-CN"/>
        </w:rPr>
        <w:br/>
        <w:t>A neurociência contemporânea revela que o coma não é um estado de sono, mas sim um colapso das redes neurais que sustentam a consciência. Caracteriza-se por uma desconexão generalizada entre o córtex cerebral - responsável pelo pensamento complexo - e o sistema de ativação reticular ascendente (SARA), localizado no tronco encefálico, que mantém a vigília. O tálamo, principal retransmissor de sinais sensoriais, silencia, interrompendo o fluxo de informações externas. Redes de alto nível, incluindo a rede de modo padrão (DMN), desligam-se completamente. Diferente do sono, não há alternância entre fases REM e não-REM; há um apagão eletrofisiológico sustentado - uma falha nos correlatos neurais da consciência. O cérebro em coma permanece incapaz de processar informações, em um silêncio neural absoluto.</w:t>
      </w:r>
    </w:p>
    <w:p w14:paraId="0358916E" w14:textId="77777777" w:rsidR="0003312E"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77CFCA60"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4. A Dimensão Poético-Filosófica: O Espelho do Eu</w:t>
      </w:r>
      <w:r>
        <w:rPr>
          <w:rFonts w:ascii="Times New Roman" w:eastAsia="Segoe UI" w:hAnsi="Times New Roman" w:cs="Times New Roman"/>
          <w:sz w:val="24"/>
          <w:szCs w:val="24"/>
          <w:shd w:val="clear" w:color="auto" w:fill="FFFFFF"/>
          <w:lang w:eastAsia="zh-CN"/>
        </w:rPr>
        <w:br/>
        <w:t xml:space="preserve">Para além da clínica e da neurociência, o coma permanece uma metáfora poderosa da fragilidade humana. Ele provoca a pergunta fundamental: se a consciência se apaga, o que resta </w:t>
      </w:r>
      <w:r>
        <w:rPr>
          <w:rFonts w:ascii="Times New Roman" w:eastAsia="Segoe UI" w:hAnsi="Times New Roman" w:cs="Times New Roman"/>
          <w:sz w:val="24"/>
          <w:szCs w:val="24"/>
          <w:shd w:val="clear" w:color="auto" w:fill="FFFFFF"/>
          <w:lang w:eastAsia="zh-CN"/>
        </w:rPr>
        <w:lastRenderedPageBreak/>
        <w:t>do "eu"? O corpo pode continuar funcionando - coração batendo, pulmões respirando - mas a narrativa interna cessa completamente. Na literatura, representa um símbolo de suspensão e limiar, reminiscente do sono de cem anos da Bela Adormecida. Filosoficamente, espelha o vazio, confrontando-nos com o silêncio eloquente do cérebro. Cushing entendia intuitivamente essa dimensão: cada paciente comatoso representava, simultaneamente, um enigma clínico e existencial. Para ele, o coma era "o silêncio mais profundo que o cérebro pode produzir. E, paradoxalmente, o mais eloquente."</w:t>
      </w:r>
    </w:p>
    <w:p w14:paraId="7993C586" w14:textId="77777777" w:rsidR="0003312E"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350DA13D" w14:textId="77777777" w:rsidR="0003312E" w:rsidRDefault="00000000">
      <w:pPr>
        <w:spacing w:after="0" w:line="360" w:lineRule="auto"/>
        <w:ind w:firstLine="709"/>
        <w:jc w:val="both"/>
        <w:rPr>
          <w:rFonts w:ascii="Times New Roman" w:eastAsia="Segoe UI" w:hAnsi="Times New Roman" w:cs="Times New Roman"/>
          <w:b/>
          <w:bCs/>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Próximo: A Tempestade Neural</w:t>
      </w:r>
    </w:p>
    <w:p w14:paraId="66EF68DD"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 xml:space="preserve">Se o coma representa o grande silêncio da consciência - um colapso estrutural onde as redes neurais se desconectam e o </w:t>
      </w:r>
      <w:proofErr w:type="gramStart"/>
      <w:r>
        <w:rPr>
          <w:rFonts w:ascii="Times New Roman" w:eastAsia="Segoe UI" w:hAnsi="Times New Roman" w:cs="Times New Roman"/>
          <w:sz w:val="24"/>
          <w:szCs w:val="24"/>
          <w:shd w:val="clear" w:color="auto" w:fill="FFFFFF"/>
          <w:lang w:eastAsia="zh-CN"/>
        </w:rPr>
        <w:t>eu se dissolve</w:t>
      </w:r>
      <w:proofErr w:type="gramEnd"/>
      <w:r>
        <w:rPr>
          <w:rFonts w:ascii="Times New Roman" w:eastAsia="Segoe UI" w:hAnsi="Times New Roman" w:cs="Times New Roman"/>
          <w:sz w:val="24"/>
          <w:szCs w:val="24"/>
          <w:shd w:val="clear" w:color="auto" w:fill="FFFFFF"/>
          <w:lang w:eastAsia="zh-CN"/>
        </w:rPr>
        <w:t xml:space="preserve"> em ausência -, o próximo estágio de nossa jornada nos levará ao seu extremo oposto. Do vazio neural, emergiremos na tormenta cerebral do frenesi: um estado de hiperativação catastrófica onde a mente, longe de se apagar, incendeia-se em turbilhão descontrolado. Se no coma testemunhamos a arquitetura da consciência em ruínas, no frenesi observaremos seus circuitos em curto-circuito, sua fiação superaquecida pela tempestade elétrica de uma atividade neural sem freios. Do silêncio absoluto ao ruído ensurdecedor, a exploração dos estados liminares da mente prossegue.</w:t>
      </w:r>
    </w:p>
    <w:p w14:paraId="0996DFF9" w14:textId="77777777" w:rsidR="0003312E" w:rsidRDefault="0003312E">
      <w:pPr>
        <w:spacing w:after="0" w:line="360" w:lineRule="auto"/>
        <w:ind w:firstLine="709"/>
        <w:jc w:val="both"/>
        <w:rPr>
          <w:rFonts w:ascii="Times New Roman" w:eastAsia="Segoe UI" w:hAnsi="Times New Roman" w:cs="Times New Roman"/>
          <w:sz w:val="24"/>
          <w:szCs w:val="24"/>
          <w:shd w:val="clear" w:color="auto" w:fill="FFFFFF"/>
          <w:lang w:eastAsia="zh-CN"/>
        </w:rPr>
      </w:pPr>
    </w:p>
    <w:p w14:paraId="7C1B0654" w14:textId="77777777" w:rsidR="0003312E" w:rsidRDefault="00000000">
      <w:pPr>
        <w:spacing w:after="0" w:line="240" w:lineRule="auto"/>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br w:type="page"/>
      </w:r>
    </w:p>
    <w:tbl>
      <w:tblPr>
        <w:tblStyle w:val="Tabelacomgrade"/>
        <w:tblW w:w="850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Look w:val="04A0" w:firstRow="1" w:lastRow="0" w:firstColumn="1" w:lastColumn="0" w:noHBand="0" w:noVBand="1"/>
      </w:tblPr>
      <w:tblGrid>
        <w:gridCol w:w="4353"/>
        <w:gridCol w:w="4152"/>
      </w:tblGrid>
      <w:tr w:rsidR="0003312E" w14:paraId="2049228E" w14:textId="77777777">
        <w:trPr>
          <w:trHeight w:val="470"/>
          <w:jc w:val="center"/>
        </w:trPr>
        <w:tc>
          <w:tcPr>
            <w:tcW w:w="8505" w:type="dxa"/>
            <w:gridSpan w:val="2"/>
            <w:tcBorders>
              <w:top w:val="nil"/>
              <w:left w:val="nil"/>
              <w:bottom w:val="nil"/>
              <w:right w:val="nil"/>
            </w:tcBorders>
          </w:tcPr>
          <w:p w14:paraId="33CED188" w14:textId="77777777" w:rsidR="0003312E" w:rsidRDefault="00000000">
            <w:pPr>
              <w:pBdr>
                <w:left w:val="single" w:sz="80" w:space="4" w:color="7F7F7F" w:themeColor="text1" w:themeTint="80"/>
                <w:bottom w:val="single" w:sz="8" w:space="4" w:color="7F7F7F" w:themeColor="text1" w:themeTint="80"/>
              </w:pBdr>
              <w:spacing w:after="0" w:line="240" w:lineRule="auto"/>
              <w:rPr>
                <w:rFonts w:ascii="Times New Roman" w:eastAsia="SimSun" w:hAnsi="Times New Roman" w:cs="Times New Roman"/>
                <w:b/>
                <w:bCs/>
                <w:sz w:val="24"/>
                <w:szCs w:val="24"/>
              </w:rPr>
            </w:pPr>
            <w:r>
              <w:rPr>
                <w:rFonts w:ascii="Times New Roman" w:hAnsi="Times New Roman" w:cs="Times New Roman"/>
                <w:b/>
                <w:bCs/>
                <w:sz w:val="24"/>
                <w:szCs w:val="24"/>
              </w:rPr>
              <w:lastRenderedPageBreak/>
              <w:t xml:space="preserve">Capítulo </w:t>
            </w:r>
            <w:proofErr w:type="gramStart"/>
            <w:r>
              <w:rPr>
                <w:rFonts w:ascii="Times New Roman" w:hAnsi="Times New Roman" w:cs="Times New Roman"/>
                <w:b/>
                <w:bCs/>
                <w:sz w:val="24"/>
                <w:szCs w:val="24"/>
              </w:rPr>
              <w:t>3  -</w:t>
            </w:r>
            <w:proofErr w:type="gramEnd"/>
            <w:r>
              <w:rPr>
                <w:rFonts w:ascii="Times New Roman" w:hAnsi="Times New Roman" w:cs="Times New Roman"/>
                <w:b/>
                <w:bCs/>
                <w:sz w:val="24"/>
                <w:szCs w:val="24"/>
              </w:rPr>
              <w:t xml:space="preserve">  </w:t>
            </w:r>
            <w:r>
              <w:rPr>
                <w:rFonts w:ascii="Times New Roman" w:eastAsiaTheme="majorEastAsia" w:hAnsi="Times New Roman" w:cs="Times New Roman"/>
                <w:b/>
                <w:bCs/>
                <w:sz w:val="24"/>
                <w:szCs w:val="24"/>
              </w:rPr>
              <w:t>Frenesi: O Fogo que Incendeia a Mente</w:t>
            </w:r>
          </w:p>
        </w:tc>
      </w:tr>
      <w:tr w:rsidR="0003312E" w14:paraId="44516D6C" w14:textId="77777777">
        <w:trPr>
          <w:jc w:val="center"/>
        </w:trPr>
        <w:tc>
          <w:tcPr>
            <w:tcW w:w="4353" w:type="dxa"/>
            <w:tcBorders>
              <w:top w:val="nil"/>
              <w:left w:val="nil"/>
              <w:bottom w:val="nil"/>
              <w:right w:val="nil"/>
            </w:tcBorders>
          </w:tcPr>
          <w:p w14:paraId="30BF5463" w14:textId="77777777" w:rsidR="0003312E" w:rsidRDefault="00000000">
            <w:pPr>
              <w:spacing w:after="0" w:line="240" w:lineRule="auto"/>
              <w:jc w:val="center"/>
              <w:rPr>
                <w:rStyle w:val="Forte"/>
                <w:rFonts w:ascii="Times New Roman" w:eastAsia="Garamond" w:hAnsi="Times New Roman" w:cs="Times New Roman"/>
                <w:b w:val="0"/>
                <w:bCs w:val="0"/>
                <w:sz w:val="24"/>
                <w:szCs w:val="24"/>
              </w:rPr>
            </w:pPr>
            <w:r>
              <w:rPr>
                <w:rFonts w:ascii="Times New Roman" w:hAnsi="Times New Roman" w:cs="Times New Roman"/>
                <w:noProof/>
                <w:sz w:val="24"/>
                <w:szCs w:val="24"/>
              </w:rPr>
              <w:drawing>
                <wp:inline distT="0" distB="0" distL="0" distR="0" wp14:anchorId="6BCDDDB1" wp14:editId="53BEC204">
                  <wp:extent cx="1563370" cy="1563370"/>
                  <wp:effectExtent l="0" t="0" r="6350" b="6350"/>
                  <wp:docPr id="1285191761"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191761" name="Imagem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563370" cy="1563370"/>
                          </a:xfrm>
                          <a:prstGeom prst="rect">
                            <a:avLst/>
                          </a:prstGeom>
                          <a:noFill/>
                          <a:ln>
                            <a:noFill/>
                          </a:ln>
                        </pic:spPr>
                      </pic:pic>
                    </a:graphicData>
                  </a:graphic>
                </wp:inline>
              </w:drawing>
            </w:r>
          </w:p>
        </w:tc>
        <w:tc>
          <w:tcPr>
            <w:tcW w:w="4152" w:type="dxa"/>
            <w:tcBorders>
              <w:top w:val="nil"/>
              <w:left w:val="nil"/>
              <w:bottom w:val="nil"/>
              <w:right w:val="nil"/>
            </w:tcBorders>
          </w:tcPr>
          <w:p w14:paraId="371539A6" w14:textId="77777777" w:rsidR="0003312E" w:rsidRDefault="00000000">
            <w:pPr>
              <w:spacing w:after="0" w:line="240" w:lineRule="auto"/>
              <w:jc w:val="center"/>
              <w:rPr>
                <w:rStyle w:val="Forte"/>
                <w:rFonts w:ascii="Times New Roman" w:eastAsia="Garamond" w:hAnsi="Times New Roman" w:cs="Times New Roman"/>
                <w:b w:val="0"/>
                <w:bCs w:val="0"/>
                <w:sz w:val="24"/>
                <w:szCs w:val="24"/>
              </w:rPr>
            </w:pPr>
            <w:r>
              <w:rPr>
                <w:rFonts w:ascii="Times New Roman" w:eastAsia="SimSun" w:hAnsi="Times New Roman" w:cs="Times New Roman"/>
                <w:noProof/>
                <w:sz w:val="24"/>
                <w:szCs w:val="24"/>
              </w:rPr>
              <w:drawing>
                <wp:inline distT="0" distB="0" distL="114300" distR="114300" wp14:anchorId="5825F0E3" wp14:editId="429721B6">
                  <wp:extent cx="987425" cy="1481455"/>
                  <wp:effectExtent l="0" t="0" r="3175" b="12065"/>
                  <wp:docPr id="26" name="Imagem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16" descr="IMG_256"/>
                          <pic:cNvPicPr>
                            <a:picLocks noChangeAspect="1"/>
                          </pic:cNvPicPr>
                        </pic:nvPicPr>
                        <pic:blipFill>
                          <a:blip r:embed="rId18"/>
                          <a:stretch>
                            <a:fillRect/>
                          </a:stretch>
                        </pic:blipFill>
                        <pic:spPr>
                          <a:xfrm>
                            <a:off x="0" y="0"/>
                            <a:ext cx="987425" cy="1481455"/>
                          </a:xfrm>
                          <a:prstGeom prst="rect">
                            <a:avLst/>
                          </a:prstGeom>
                          <a:noFill/>
                          <a:ln w="9525">
                            <a:noFill/>
                          </a:ln>
                        </pic:spPr>
                      </pic:pic>
                    </a:graphicData>
                  </a:graphic>
                </wp:inline>
              </w:drawing>
            </w:r>
          </w:p>
        </w:tc>
      </w:tr>
      <w:tr w:rsidR="0003312E" w14:paraId="563D1AA9" w14:textId="77777777">
        <w:trPr>
          <w:trHeight w:val="476"/>
          <w:jc w:val="center"/>
        </w:trPr>
        <w:tc>
          <w:tcPr>
            <w:tcW w:w="4353" w:type="dxa"/>
            <w:tcBorders>
              <w:top w:val="nil"/>
              <w:left w:val="nil"/>
              <w:bottom w:val="nil"/>
              <w:right w:val="nil"/>
            </w:tcBorders>
          </w:tcPr>
          <w:p w14:paraId="02DF9318" w14:textId="77777777" w:rsidR="0003312E" w:rsidRDefault="00000000">
            <w:pPr>
              <w:pStyle w:val="NormalWeb"/>
              <w:spacing w:beforeAutospacing="0" w:after="0" w:afterAutospacing="0" w:line="240" w:lineRule="auto"/>
              <w:rPr>
                <w:rStyle w:val="Forte"/>
                <w:rFonts w:eastAsia="Garamond"/>
                <w:b w:val="0"/>
                <w:bCs w:val="0"/>
                <w:sz w:val="24"/>
                <w:lang w:val="pt-BR"/>
              </w:rPr>
            </w:pPr>
            <w:r>
              <w:rPr>
                <w:rFonts w:eastAsiaTheme="majorEastAsia"/>
                <w:i/>
                <w:iCs/>
                <w:sz w:val="24"/>
                <w:lang w:val="pt-BR"/>
              </w:rPr>
              <w:t>Figura 3.1: O Êxtase de Dionísio: Entre Inspiração e Perda de Controle</w:t>
            </w:r>
            <w:r>
              <w:rPr>
                <w:rFonts w:eastAsiaTheme="majorEastAsia"/>
                <w:sz w:val="24"/>
                <w:lang w:val="pt-BR"/>
              </w:rPr>
              <w:br/>
            </w:r>
          </w:p>
        </w:tc>
        <w:tc>
          <w:tcPr>
            <w:tcW w:w="4152" w:type="dxa"/>
            <w:tcBorders>
              <w:top w:val="nil"/>
              <w:left w:val="nil"/>
              <w:bottom w:val="nil"/>
              <w:right w:val="nil"/>
            </w:tcBorders>
          </w:tcPr>
          <w:p w14:paraId="561A9E70" w14:textId="77777777" w:rsidR="0003312E" w:rsidRDefault="00000000">
            <w:pPr>
              <w:spacing w:after="0" w:line="240" w:lineRule="auto"/>
              <w:rPr>
                <w:rStyle w:val="Forte"/>
                <w:rFonts w:ascii="Times New Roman" w:eastAsia="Garamond" w:hAnsi="Times New Roman" w:cs="Times New Roman"/>
                <w:b w:val="0"/>
                <w:bCs w:val="0"/>
                <w:sz w:val="24"/>
                <w:szCs w:val="24"/>
              </w:rPr>
            </w:pPr>
            <w:r>
              <w:rPr>
                <w:rFonts w:ascii="Times New Roman" w:eastAsiaTheme="majorEastAsia" w:hAnsi="Times New Roman" w:cs="Times New Roman"/>
                <w:i/>
                <w:iCs/>
                <w:sz w:val="24"/>
                <w:szCs w:val="24"/>
              </w:rPr>
              <w:t xml:space="preserve">Figura 3.2: Friedrich Nietzsche (1844-1900): O Filósofo </w:t>
            </w:r>
            <w:proofErr w:type="gramStart"/>
            <w:r>
              <w:rPr>
                <w:rFonts w:ascii="Times New Roman" w:eastAsiaTheme="majorEastAsia" w:hAnsi="Times New Roman" w:cs="Times New Roman"/>
                <w:i/>
                <w:iCs/>
                <w:sz w:val="24"/>
                <w:szCs w:val="24"/>
              </w:rPr>
              <w:t>que Abraçou</w:t>
            </w:r>
            <w:proofErr w:type="gramEnd"/>
            <w:r>
              <w:rPr>
                <w:rFonts w:ascii="Times New Roman" w:eastAsiaTheme="majorEastAsia" w:hAnsi="Times New Roman" w:cs="Times New Roman"/>
                <w:i/>
                <w:iCs/>
                <w:sz w:val="24"/>
                <w:szCs w:val="24"/>
              </w:rPr>
              <w:t xml:space="preserve"> o Fogo Mental</w:t>
            </w:r>
          </w:p>
        </w:tc>
      </w:tr>
    </w:tbl>
    <w:p w14:paraId="0134AC6D" w14:textId="77777777" w:rsidR="0003312E" w:rsidRDefault="0003312E">
      <w:pPr>
        <w:pStyle w:val="NormalWeb"/>
        <w:spacing w:beforeAutospacing="0" w:after="0" w:afterAutospacing="0" w:line="360" w:lineRule="auto"/>
        <w:ind w:firstLine="709"/>
        <w:jc w:val="both"/>
        <w:rPr>
          <w:rFonts w:eastAsia="Segoe UI"/>
          <w:sz w:val="24"/>
          <w:shd w:val="clear" w:color="auto" w:fill="FFFFFF"/>
          <w:lang w:val="pt-BR"/>
        </w:rPr>
      </w:pPr>
    </w:p>
    <w:p w14:paraId="5CC77BB5"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b/>
          <w:bCs/>
          <w:color w:val="0F1115"/>
          <w:kern w:val="0"/>
          <w:sz w:val="24"/>
          <w:szCs w:val="24"/>
          <w:lang w:eastAsia="pt-BR"/>
          <w14:ligatures w14:val="none"/>
        </w:rPr>
        <w:t>Frenesi em Poucas Palavras: Quando a Mente Arde Demais</w:t>
      </w:r>
    </w:p>
    <w:p w14:paraId="6BE1ABBD"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A palavra "frenesi" evoca uma imagem visceral e poderosa: a mente em chamas. No uso comum, ela nos chega associada a uma exaltação sem freios, como se carregasse em seu próprio núcleo a ideia de uma perda de controle. Mas este fenômeno vai muito além de uma simples agitação. O frenesi, como conceito, atravessa domínios distintos - da patologia à inspiração. Este capítulo não busca reduzir essa complexidade, mas explorar como diferentes épocas e disciplinas interpretaram estados mentais intensos. Ele nos convida a explorar quatro dimensões profundamente entrelaçadas. A primeira nos leva à sua origem linguística, que remete à própria ideia de uma mente inflamada. A segunda percorre sua longa trajetória histórica, saindo dos tratados da medicina hipocrática para chegar aos insights da filosofia nietzschiana. A terceira dimensão desvenda os mecanismos neurobiológicos por trás dessa experiência, revelando um cérebro que opera em estado de superaquecimento. E a quarta nos transporta para o plano simbólico, onde o frenesi se revela como uma força primordial, ao mesmo tempo criadora e destruidora. São essas quatro perspectivas que, juntas, nos conduzem a uma compreensão mais rica e completa desse estado de exaltação mental que tanto fascina e assombra a humanidade.</w:t>
      </w:r>
    </w:p>
    <w:p w14:paraId="4B8666EC" w14:textId="77777777" w:rsidR="0003312E" w:rsidRDefault="0003312E">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p>
    <w:p w14:paraId="7E274FE9"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b/>
          <w:bCs/>
          <w:color w:val="0F1115"/>
          <w:kern w:val="0"/>
          <w:sz w:val="24"/>
          <w:szCs w:val="24"/>
          <w:lang w:eastAsia="pt-BR"/>
          <w14:ligatures w14:val="none"/>
        </w:rPr>
        <w:t xml:space="preserve">A Jornada da Palavra: De </w:t>
      </w:r>
      <w:proofErr w:type="spellStart"/>
      <w:r>
        <w:rPr>
          <w:rFonts w:ascii="Times New Roman" w:eastAsia="Times New Roman" w:hAnsi="Times New Roman" w:cs="Times New Roman"/>
          <w:b/>
          <w:bCs/>
          <w:color w:val="0F1115"/>
          <w:kern w:val="0"/>
          <w:sz w:val="24"/>
          <w:szCs w:val="24"/>
          <w:lang w:eastAsia="pt-BR"/>
          <w14:ligatures w14:val="none"/>
        </w:rPr>
        <w:t>Phrēn</w:t>
      </w:r>
      <w:proofErr w:type="spellEnd"/>
      <w:r>
        <w:rPr>
          <w:rFonts w:ascii="Times New Roman" w:eastAsia="Times New Roman" w:hAnsi="Times New Roman" w:cs="Times New Roman"/>
          <w:b/>
          <w:bCs/>
          <w:color w:val="0F1115"/>
          <w:kern w:val="0"/>
          <w:sz w:val="24"/>
          <w:szCs w:val="24"/>
          <w:lang w:eastAsia="pt-BR"/>
          <w14:ligatures w14:val="none"/>
        </w:rPr>
        <w:t xml:space="preserve"> a Nietzsche</w:t>
      </w:r>
    </w:p>
    <w:p w14:paraId="4531983A"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Dionísio, deus do vinho, do êxtase e do teatro, personificava o frenesi, uma força capaz de dissolver os limites do ego, liberando tanto a criação quanto a destruição.</w:t>
      </w:r>
    </w:p>
    <w:p w14:paraId="1AA9C935"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 xml:space="preserve">Na Idade Média, o frenesi assumiu interpretações predominantemente sobrenaturais: o que antes era condição médica passou a ser visto como possessão demoníaca ou, em raros casos, êxtase divino, quando o indivíduo era tomado por forças além de si mesmo. Embora visões sobrenaturais predominassem, tradições médicas continuaram a oferecer explicações naturais </w:t>
      </w:r>
      <w:r>
        <w:rPr>
          <w:rFonts w:ascii="Times New Roman" w:eastAsia="Times New Roman" w:hAnsi="Times New Roman" w:cs="Times New Roman"/>
          <w:color w:val="0F1115"/>
          <w:kern w:val="0"/>
          <w:sz w:val="24"/>
          <w:szCs w:val="24"/>
          <w:lang w:eastAsia="pt-BR"/>
          <w14:ligatures w14:val="none"/>
        </w:rPr>
        <w:lastRenderedPageBreak/>
        <w:t>para esses estados. Nesse contexto, o corpo em frenesi era um território perigoso, onde a razão se perdia e a alma se tornava receptáculo de algo maior.</w:t>
      </w:r>
    </w:p>
    <w:p w14:paraId="7E98AB73"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Durante o Renascimento e o Romantismo, o frenesi foi ressignificado como metáfora da genialidade. Passou a ser associado à obsessão criativa que alimenta a grandeza artística e, por vezes, conduz à autodestruição. Pintores como Michelangelo, músicos como Beethoven e escritores como Byron encarnavam esse ideal, transformando a agitação mental em fogo sagrado capaz de distinguir gênios dos meros mortais.</w:t>
      </w:r>
    </w:p>
    <w:p w14:paraId="41F659A2"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 xml:space="preserve">No século XIX, Friedrich Nietzsche desenvolveu uma das elaborações filosóficas mais influentes do conceito. Em O Nascimento da Tragédia, ele postulou que a grande arte nasce da tensão entre Apolo, representante da ordem e da forma, e Dionísio, símbolo do caos e do êxtase. Para Nietzsche, o frenesi não era patologia, mas força vital - o preço e a potência de quem ousa transcender os limites da moral convencional. </w:t>
      </w:r>
    </w:p>
    <w:p w14:paraId="22D96343"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A biografia de Nietzsche oferece, ela mesma, uma narrativa complexa e trágica sobre os limites entre a potência criativa e o sofrimento mental. Seus períodos de produtividade filosófica intensa — nos quais forjou conceitos como o 'frenesi' dionisíaco — coexistiram com enxaquecas debilitantes. Seu colapso final, atribuído a uma doença neurológica sifilítica, interrompeu precocemente sua obra, levantando questões pungentes sobre o custo humano por trás de certas formas de genialidade. É crucial distinguir aqui: se, por um lado, Nietzsche elevou filosoficamente o frenesi a uma força vital, seu sofrimento neurológico constituiu uma experiência corporal avassaladora e involuntária - não uma escolha intelectual.</w:t>
      </w:r>
    </w:p>
    <w:p w14:paraId="08C1B8CA"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Mas que mecanismos cerebrais poderiam estar na base de um estado tão extremo de agitação mental? A neurociência contemporânea começa a desvendar os 'correlatos neurais' desse fogo interior, oferecendo uma contrapartida biológica à intuição filosófica. Evidências neurocientíficas apontam para um padrão específico: hiperatividade no sistema límbico - particularmente na amígdala e hipocampo - associada a comprometimentos no funcionamento do córtex pré-frontal (</w:t>
      </w:r>
      <w:proofErr w:type="spellStart"/>
      <w:r>
        <w:rPr>
          <w:rFonts w:ascii="Times New Roman" w:eastAsia="Times New Roman" w:hAnsi="Times New Roman" w:cs="Times New Roman"/>
          <w:color w:val="0F1115"/>
          <w:kern w:val="0"/>
          <w:sz w:val="24"/>
          <w:szCs w:val="24"/>
          <w:lang w:eastAsia="pt-BR"/>
          <w14:ligatures w14:val="none"/>
        </w:rPr>
        <w:t>ventromedial</w:t>
      </w:r>
      <w:proofErr w:type="spellEnd"/>
      <w:r>
        <w:rPr>
          <w:rFonts w:ascii="Times New Roman" w:eastAsia="Times New Roman" w:hAnsi="Times New Roman" w:cs="Times New Roman"/>
          <w:color w:val="0F1115"/>
          <w:kern w:val="0"/>
          <w:sz w:val="24"/>
          <w:szCs w:val="24"/>
          <w:lang w:eastAsia="pt-BR"/>
          <w14:ligatures w14:val="none"/>
        </w:rPr>
        <w:t xml:space="preserve">, </w:t>
      </w:r>
      <w:proofErr w:type="spellStart"/>
      <w:r>
        <w:rPr>
          <w:rFonts w:ascii="Times New Roman" w:eastAsia="Times New Roman" w:hAnsi="Times New Roman" w:cs="Times New Roman"/>
          <w:color w:val="0F1115"/>
          <w:kern w:val="0"/>
          <w:sz w:val="24"/>
          <w:szCs w:val="24"/>
          <w:lang w:eastAsia="pt-BR"/>
          <w14:ligatures w14:val="none"/>
        </w:rPr>
        <w:t>dorsomedial</w:t>
      </w:r>
      <w:proofErr w:type="spellEnd"/>
      <w:r>
        <w:rPr>
          <w:rFonts w:ascii="Times New Roman" w:eastAsia="Times New Roman" w:hAnsi="Times New Roman" w:cs="Times New Roman"/>
          <w:color w:val="0F1115"/>
          <w:kern w:val="0"/>
          <w:sz w:val="24"/>
          <w:szCs w:val="24"/>
          <w:lang w:eastAsia="pt-BR"/>
          <w14:ligatures w14:val="none"/>
        </w:rPr>
        <w:t xml:space="preserve"> e dorsolateral).</w:t>
      </w:r>
    </w:p>
    <w:p w14:paraId="0ADAE0BF"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Este desequilíbrio se manifesta como uma desconexão entre os centros emocionais e as regiões responsáveis pelo controle executivo e regulação racional. O resultado é um estado de hiperexcitação mental que pode oscilar entre a concentração criativa intensa e a agitação psicomotora descontrolada.</w:t>
      </w:r>
    </w:p>
    <w:p w14:paraId="09ECBE2E" w14:textId="77777777" w:rsidR="0003312E" w:rsidRDefault="0003312E">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p>
    <w:p w14:paraId="5A48A66D" w14:textId="77777777" w:rsidR="0003312E" w:rsidRDefault="0003312E">
      <w:pPr>
        <w:shd w:val="clear" w:color="auto" w:fill="FFFFFF"/>
        <w:spacing w:after="0" w:line="360" w:lineRule="auto"/>
        <w:ind w:firstLine="709"/>
        <w:jc w:val="both"/>
        <w:rPr>
          <w:rFonts w:ascii="Times New Roman" w:eastAsia="Times New Roman" w:hAnsi="Times New Roman" w:cs="Times New Roman"/>
          <w:b/>
          <w:bCs/>
          <w:color w:val="0F1115"/>
          <w:kern w:val="0"/>
          <w:sz w:val="24"/>
          <w:szCs w:val="24"/>
          <w:lang w:eastAsia="pt-BR"/>
          <w14:ligatures w14:val="none"/>
        </w:rPr>
      </w:pPr>
    </w:p>
    <w:p w14:paraId="30259AE3" w14:textId="77777777" w:rsidR="0003312E" w:rsidRDefault="0003312E">
      <w:pPr>
        <w:shd w:val="clear" w:color="auto" w:fill="FFFFFF"/>
        <w:spacing w:after="0" w:line="360" w:lineRule="auto"/>
        <w:ind w:firstLine="709"/>
        <w:jc w:val="both"/>
        <w:rPr>
          <w:rFonts w:ascii="Times New Roman" w:eastAsia="Times New Roman" w:hAnsi="Times New Roman" w:cs="Times New Roman"/>
          <w:b/>
          <w:bCs/>
          <w:color w:val="0F1115"/>
          <w:kern w:val="0"/>
          <w:sz w:val="24"/>
          <w:szCs w:val="24"/>
          <w:lang w:eastAsia="pt-BR"/>
          <w14:ligatures w14:val="none"/>
        </w:rPr>
      </w:pPr>
    </w:p>
    <w:p w14:paraId="2DB3B089" w14:textId="77777777" w:rsidR="0003312E" w:rsidRDefault="0003312E">
      <w:pPr>
        <w:shd w:val="clear" w:color="auto" w:fill="FFFFFF"/>
        <w:spacing w:after="0" w:line="360" w:lineRule="auto"/>
        <w:ind w:firstLine="709"/>
        <w:jc w:val="both"/>
        <w:rPr>
          <w:rFonts w:ascii="Times New Roman" w:eastAsia="Times New Roman" w:hAnsi="Times New Roman" w:cs="Times New Roman"/>
          <w:b/>
          <w:bCs/>
          <w:color w:val="0F1115"/>
          <w:kern w:val="0"/>
          <w:sz w:val="24"/>
          <w:szCs w:val="24"/>
          <w:lang w:eastAsia="pt-BR"/>
          <w14:ligatures w14:val="none"/>
        </w:rPr>
      </w:pPr>
    </w:p>
    <w:p w14:paraId="618848D7"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b/>
          <w:bCs/>
          <w:color w:val="0F1115"/>
          <w:kern w:val="0"/>
          <w:sz w:val="24"/>
          <w:szCs w:val="24"/>
          <w:lang w:eastAsia="pt-BR"/>
          <w14:ligatures w14:val="none"/>
        </w:rPr>
        <w:lastRenderedPageBreak/>
        <w:t>Quadro 3.1 - A Evolução do Frenesi: Da Medicina à Filosofia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21"/>
        <w:gridCol w:w="3381"/>
        <w:gridCol w:w="4159"/>
      </w:tblGrid>
      <w:tr w:rsidR="0003312E" w14:paraId="337244E3" w14:textId="77777777">
        <w:trPr>
          <w:tblHeader/>
        </w:trPr>
        <w:tc>
          <w:tcPr>
            <w:tcW w:w="0" w:type="auto"/>
            <w:tcMar>
              <w:top w:w="150" w:type="dxa"/>
              <w:left w:w="0" w:type="dxa"/>
              <w:bottom w:w="150" w:type="dxa"/>
              <w:right w:w="240" w:type="dxa"/>
            </w:tcMar>
            <w:vAlign w:val="center"/>
          </w:tcPr>
          <w:p w14:paraId="445F4E7A" w14:textId="77777777" w:rsidR="0003312E" w:rsidRDefault="00000000">
            <w:pPr>
              <w:spacing w:after="0" w:line="240" w:lineRule="auto"/>
              <w:rPr>
                <w:rFonts w:ascii="Times New Roman" w:eastAsia="Times New Roman" w:hAnsi="Times New Roman" w:cs="Times New Roman"/>
                <w:b/>
                <w:bCs/>
                <w:kern w:val="0"/>
                <w:sz w:val="20"/>
                <w:szCs w:val="20"/>
                <w:lang w:eastAsia="pt-BR"/>
                <w14:ligatures w14:val="none"/>
              </w:rPr>
            </w:pPr>
            <w:r>
              <w:rPr>
                <w:rFonts w:ascii="Times New Roman" w:eastAsia="Times New Roman" w:hAnsi="Times New Roman" w:cs="Times New Roman"/>
                <w:b/>
                <w:bCs/>
                <w:kern w:val="0"/>
                <w:sz w:val="20"/>
                <w:szCs w:val="20"/>
                <w:lang w:eastAsia="pt-BR"/>
                <w14:ligatures w14:val="none"/>
              </w:rPr>
              <w:t>Época</w:t>
            </w:r>
          </w:p>
        </w:tc>
        <w:tc>
          <w:tcPr>
            <w:tcW w:w="0" w:type="auto"/>
            <w:tcMar>
              <w:top w:w="150" w:type="dxa"/>
              <w:left w:w="240" w:type="dxa"/>
              <w:bottom w:w="150" w:type="dxa"/>
              <w:right w:w="240" w:type="dxa"/>
            </w:tcMar>
            <w:vAlign w:val="center"/>
          </w:tcPr>
          <w:p w14:paraId="17526727" w14:textId="77777777" w:rsidR="0003312E" w:rsidRDefault="00000000">
            <w:pPr>
              <w:spacing w:after="0" w:line="240" w:lineRule="auto"/>
              <w:rPr>
                <w:rFonts w:ascii="Times New Roman" w:eastAsia="Times New Roman" w:hAnsi="Times New Roman" w:cs="Times New Roman"/>
                <w:b/>
                <w:bCs/>
                <w:kern w:val="0"/>
                <w:sz w:val="20"/>
                <w:szCs w:val="20"/>
                <w:lang w:eastAsia="pt-BR"/>
                <w14:ligatures w14:val="none"/>
              </w:rPr>
            </w:pPr>
            <w:r>
              <w:rPr>
                <w:rFonts w:ascii="Times New Roman" w:eastAsia="Times New Roman" w:hAnsi="Times New Roman" w:cs="Times New Roman"/>
                <w:b/>
                <w:bCs/>
                <w:kern w:val="0"/>
                <w:sz w:val="20"/>
                <w:szCs w:val="20"/>
                <w:lang w:eastAsia="pt-BR"/>
                <w14:ligatures w14:val="none"/>
              </w:rPr>
              <w:t>Marco</w:t>
            </w:r>
          </w:p>
        </w:tc>
        <w:tc>
          <w:tcPr>
            <w:tcW w:w="0" w:type="auto"/>
            <w:tcMar>
              <w:top w:w="150" w:type="dxa"/>
              <w:left w:w="240" w:type="dxa"/>
              <w:bottom w:w="150" w:type="dxa"/>
              <w:right w:w="240" w:type="dxa"/>
            </w:tcMar>
            <w:vAlign w:val="center"/>
          </w:tcPr>
          <w:p w14:paraId="4F4C0BEC" w14:textId="77777777" w:rsidR="0003312E" w:rsidRDefault="00000000">
            <w:pPr>
              <w:spacing w:after="0" w:line="240" w:lineRule="auto"/>
              <w:rPr>
                <w:rFonts w:ascii="Times New Roman" w:eastAsia="Times New Roman" w:hAnsi="Times New Roman" w:cs="Times New Roman"/>
                <w:b/>
                <w:bCs/>
                <w:kern w:val="0"/>
                <w:sz w:val="20"/>
                <w:szCs w:val="20"/>
                <w:lang w:eastAsia="pt-BR"/>
                <w14:ligatures w14:val="none"/>
              </w:rPr>
            </w:pPr>
            <w:r>
              <w:rPr>
                <w:rFonts w:ascii="Times New Roman" w:eastAsia="Times New Roman" w:hAnsi="Times New Roman" w:cs="Times New Roman"/>
                <w:b/>
                <w:bCs/>
                <w:kern w:val="0"/>
                <w:sz w:val="20"/>
                <w:szCs w:val="20"/>
                <w:lang w:eastAsia="pt-BR"/>
                <w14:ligatures w14:val="none"/>
              </w:rPr>
              <w:t>Significado e Impacto</w:t>
            </w:r>
          </w:p>
        </w:tc>
      </w:tr>
      <w:tr w:rsidR="0003312E" w14:paraId="6A68B12F" w14:textId="77777777">
        <w:tc>
          <w:tcPr>
            <w:tcW w:w="0" w:type="auto"/>
            <w:tcMar>
              <w:top w:w="150" w:type="dxa"/>
              <w:left w:w="0" w:type="dxa"/>
              <w:bottom w:w="150" w:type="dxa"/>
              <w:right w:w="240" w:type="dxa"/>
            </w:tcMar>
            <w:vAlign w:val="center"/>
          </w:tcPr>
          <w:p w14:paraId="41C97E60" w14:textId="77777777" w:rsidR="0003312E" w:rsidRDefault="00000000">
            <w:pPr>
              <w:spacing w:after="0" w:line="240" w:lineRule="auto"/>
              <w:rPr>
                <w:rFonts w:ascii="Times New Roman" w:eastAsia="Times New Roman" w:hAnsi="Times New Roman" w:cs="Times New Roman"/>
                <w:b/>
                <w:bCs/>
                <w:kern w:val="0"/>
                <w:sz w:val="20"/>
                <w:szCs w:val="20"/>
                <w:lang w:eastAsia="pt-BR"/>
                <w14:ligatures w14:val="none"/>
              </w:rPr>
            </w:pPr>
            <w:r>
              <w:rPr>
                <w:rFonts w:ascii="Times New Roman" w:eastAsia="Times New Roman" w:hAnsi="Times New Roman" w:cs="Times New Roman"/>
                <w:b/>
                <w:bCs/>
                <w:kern w:val="0"/>
                <w:sz w:val="20"/>
                <w:szCs w:val="20"/>
                <w:lang w:eastAsia="pt-BR"/>
                <w14:ligatures w14:val="none"/>
              </w:rPr>
              <w:t>Grécia Antiga (Mito)</w:t>
            </w:r>
          </w:p>
        </w:tc>
        <w:tc>
          <w:tcPr>
            <w:tcW w:w="0" w:type="auto"/>
            <w:tcMar>
              <w:top w:w="150" w:type="dxa"/>
              <w:left w:w="240" w:type="dxa"/>
              <w:bottom w:w="150" w:type="dxa"/>
              <w:right w:w="240" w:type="dxa"/>
            </w:tcMar>
            <w:vAlign w:val="center"/>
          </w:tcPr>
          <w:p w14:paraId="6A01EE68"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kern w:val="0"/>
                <w:sz w:val="20"/>
                <w:szCs w:val="20"/>
                <w:lang w:eastAsia="pt-BR"/>
                <w14:ligatures w14:val="none"/>
              </w:rPr>
              <w:t xml:space="preserve">Grego </w:t>
            </w:r>
            <w:proofErr w:type="spellStart"/>
            <w:r>
              <w:rPr>
                <w:rFonts w:ascii="Times New Roman" w:eastAsia="Times New Roman" w:hAnsi="Times New Roman" w:cs="Times New Roman"/>
                <w:kern w:val="0"/>
                <w:sz w:val="20"/>
                <w:szCs w:val="20"/>
                <w:lang w:eastAsia="pt-BR"/>
                <w14:ligatures w14:val="none"/>
              </w:rPr>
              <w:t>phrénēsis</w:t>
            </w:r>
            <w:proofErr w:type="spellEnd"/>
            <w:r>
              <w:rPr>
                <w:rFonts w:ascii="Times New Roman" w:eastAsia="Times New Roman" w:hAnsi="Times New Roman" w:cs="Times New Roman"/>
                <w:kern w:val="0"/>
                <w:sz w:val="20"/>
                <w:szCs w:val="20"/>
                <w:lang w:eastAsia="pt-BR"/>
                <w14:ligatures w14:val="none"/>
              </w:rPr>
              <w:t xml:space="preserve"> (</w:t>
            </w:r>
            <w:proofErr w:type="spellStart"/>
            <w:r>
              <w:rPr>
                <w:rFonts w:ascii="Times New Roman" w:eastAsia="Times New Roman" w:hAnsi="Times New Roman" w:cs="Times New Roman"/>
                <w:kern w:val="0"/>
                <w:sz w:val="20"/>
                <w:szCs w:val="20"/>
                <w:lang w:eastAsia="pt-BR"/>
                <w14:ligatures w14:val="none"/>
              </w:rPr>
              <w:t>φρένῃσις</w:t>
            </w:r>
            <w:proofErr w:type="spellEnd"/>
            <w:r>
              <w:rPr>
                <w:rFonts w:ascii="Times New Roman" w:eastAsia="Times New Roman" w:hAnsi="Times New Roman" w:cs="Times New Roman"/>
                <w:kern w:val="0"/>
                <w:sz w:val="20"/>
                <w:szCs w:val="20"/>
                <w:lang w:eastAsia="pt-BR"/>
                <w14:ligatures w14:val="none"/>
              </w:rPr>
              <w:t xml:space="preserve">): de </w:t>
            </w:r>
            <w:proofErr w:type="spellStart"/>
            <w:r>
              <w:rPr>
                <w:rFonts w:ascii="Times New Roman" w:eastAsia="Times New Roman" w:hAnsi="Times New Roman" w:cs="Times New Roman"/>
                <w:kern w:val="0"/>
                <w:sz w:val="20"/>
                <w:szCs w:val="20"/>
                <w:lang w:eastAsia="pt-BR"/>
                <w14:ligatures w14:val="none"/>
              </w:rPr>
              <w:t>phrēn</w:t>
            </w:r>
            <w:proofErr w:type="spellEnd"/>
            <w:r>
              <w:rPr>
                <w:rFonts w:ascii="Times New Roman" w:eastAsia="Times New Roman" w:hAnsi="Times New Roman" w:cs="Times New Roman"/>
                <w:kern w:val="0"/>
                <w:sz w:val="20"/>
                <w:szCs w:val="20"/>
                <w:lang w:eastAsia="pt-BR"/>
                <w14:ligatures w14:val="none"/>
              </w:rPr>
              <w:t xml:space="preserve"> (</w:t>
            </w:r>
            <w:proofErr w:type="spellStart"/>
            <w:r>
              <w:rPr>
                <w:rFonts w:ascii="Times New Roman" w:eastAsia="Times New Roman" w:hAnsi="Times New Roman" w:cs="Times New Roman"/>
                <w:kern w:val="0"/>
                <w:sz w:val="20"/>
                <w:szCs w:val="20"/>
                <w:lang w:eastAsia="pt-BR"/>
                <w14:ligatures w14:val="none"/>
              </w:rPr>
              <w:t>φρήν</w:t>
            </w:r>
            <w:proofErr w:type="spellEnd"/>
            <w:r>
              <w:rPr>
                <w:rFonts w:ascii="Times New Roman" w:eastAsia="Times New Roman" w:hAnsi="Times New Roman" w:cs="Times New Roman"/>
                <w:kern w:val="0"/>
                <w:sz w:val="20"/>
                <w:szCs w:val="20"/>
                <w:lang w:eastAsia="pt-BR"/>
                <w14:ligatures w14:val="none"/>
              </w:rPr>
              <w:t>, "mente, ânimo") + -</w:t>
            </w:r>
            <w:proofErr w:type="spellStart"/>
            <w:r>
              <w:rPr>
                <w:rFonts w:ascii="Times New Roman" w:eastAsia="Times New Roman" w:hAnsi="Times New Roman" w:cs="Times New Roman"/>
                <w:kern w:val="0"/>
                <w:sz w:val="20"/>
                <w:szCs w:val="20"/>
                <w:lang w:eastAsia="pt-BR"/>
                <w14:ligatures w14:val="none"/>
              </w:rPr>
              <w:t>sis</w:t>
            </w:r>
            <w:proofErr w:type="spellEnd"/>
            <w:r>
              <w:rPr>
                <w:rFonts w:ascii="Times New Roman" w:eastAsia="Times New Roman" w:hAnsi="Times New Roman" w:cs="Times New Roman"/>
                <w:kern w:val="0"/>
                <w:sz w:val="20"/>
                <w:szCs w:val="20"/>
                <w:lang w:eastAsia="pt-BR"/>
                <w14:ligatures w14:val="none"/>
              </w:rPr>
              <w:t xml:space="preserve"> (-</w:t>
            </w:r>
            <w:proofErr w:type="spellStart"/>
            <w:r>
              <w:rPr>
                <w:rFonts w:ascii="Times New Roman" w:eastAsia="Times New Roman" w:hAnsi="Times New Roman" w:cs="Times New Roman"/>
                <w:kern w:val="0"/>
                <w:sz w:val="20"/>
                <w:szCs w:val="20"/>
                <w:lang w:eastAsia="pt-BR"/>
                <w14:ligatures w14:val="none"/>
              </w:rPr>
              <w:t>σις</w:t>
            </w:r>
            <w:proofErr w:type="spellEnd"/>
            <w:r>
              <w:rPr>
                <w:rFonts w:ascii="Times New Roman" w:eastAsia="Times New Roman" w:hAnsi="Times New Roman" w:cs="Times New Roman"/>
                <w:kern w:val="0"/>
                <w:sz w:val="20"/>
                <w:szCs w:val="20"/>
                <w:lang w:eastAsia="pt-BR"/>
                <w14:ligatures w14:val="none"/>
              </w:rPr>
              <w:t>, "processo/estado"). Literalmente, "o processo de uma mente agitada".</w:t>
            </w:r>
          </w:p>
        </w:tc>
        <w:tc>
          <w:tcPr>
            <w:tcW w:w="0" w:type="auto"/>
            <w:tcMar>
              <w:top w:w="150" w:type="dxa"/>
              <w:left w:w="240" w:type="dxa"/>
              <w:bottom w:w="150" w:type="dxa"/>
              <w:right w:w="0" w:type="dxa"/>
            </w:tcMar>
            <w:vAlign w:val="center"/>
          </w:tcPr>
          <w:p w14:paraId="6723FB33"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kern w:val="0"/>
                <w:sz w:val="20"/>
                <w:szCs w:val="20"/>
                <w:lang w:eastAsia="pt-BR"/>
                <w14:ligatures w14:val="none"/>
              </w:rPr>
              <w:t>Dionísio - personificação do frenesi como força criadora e destruidora. O êxtase dionisíaco dissolvia os limites do ego, levando à inspiração artística ou à loucura autodestrutiva.</w:t>
            </w:r>
          </w:p>
        </w:tc>
      </w:tr>
      <w:tr w:rsidR="0003312E" w14:paraId="1A559243" w14:textId="77777777">
        <w:tc>
          <w:tcPr>
            <w:tcW w:w="0" w:type="auto"/>
            <w:tcMar>
              <w:top w:w="150" w:type="dxa"/>
              <w:left w:w="0" w:type="dxa"/>
              <w:bottom w:w="150" w:type="dxa"/>
              <w:right w:w="240" w:type="dxa"/>
            </w:tcMar>
            <w:vAlign w:val="center"/>
          </w:tcPr>
          <w:p w14:paraId="4D625A39" w14:textId="77777777" w:rsidR="0003312E" w:rsidRDefault="00000000">
            <w:pPr>
              <w:spacing w:after="0" w:line="240" w:lineRule="auto"/>
              <w:rPr>
                <w:rFonts w:ascii="Times New Roman" w:eastAsia="Times New Roman" w:hAnsi="Times New Roman" w:cs="Times New Roman"/>
                <w:b/>
                <w:bCs/>
                <w:kern w:val="0"/>
                <w:sz w:val="20"/>
                <w:szCs w:val="20"/>
                <w:lang w:eastAsia="pt-BR"/>
                <w14:ligatures w14:val="none"/>
              </w:rPr>
            </w:pPr>
            <w:r>
              <w:rPr>
                <w:rFonts w:ascii="Times New Roman" w:eastAsia="Times New Roman" w:hAnsi="Times New Roman" w:cs="Times New Roman"/>
                <w:b/>
                <w:bCs/>
                <w:kern w:val="0"/>
                <w:sz w:val="20"/>
                <w:szCs w:val="20"/>
                <w:lang w:eastAsia="pt-BR"/>
                <w14:ligatures w14:val="none"/>
              </w:rPr>
              <w:t>Idade Média</w:t>
            </w:r>
          </w:p>
        </w:tc>
        <w:tc>
          <w:tcPr>
            <w:tcW w:w="0" w:type="auto"/>
            <w:tcMar>
              <w:top w:w="150" w:type="dxa"/>
              <w:left w:w="240" w:type="dxa"/>
              <w:bottom w:w="150" w:type="dxa"/>
              <w:right w:w="240" w:type="dxa"/>
            </w:tcMar>
            <w:vAlign w:val="center"/>
          </w:tcPr>
          <w:p w14:paraId="512C2A1A"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kern w:val="0"/>
                <w:sz w:val="20"/>
                <w:szCs w:val="20"/>
                <w:lang w:eastAsia="pt-BR"/>
                <w14:ligatures w14:val="none"/>
              </w:rPr>
              <w:t>Frenesi como possessão</w:t>
            </w:r>
          </w:p>
        </w:tc>
        <w:tc>
          <w:tcPr>
            <w:tcW w:w="0" w:type="auto"/>
            <w:tcMar>
              <w:top w:w="150" w:type="dxa"/>
              <w:left w:w="240" w:type="dxa"/>
              <w:bottom w:w="150" w:type="dxa"/>
              <w:right w:w="0" w:type="dxa"/>
            </w:tcMar>
            <w:vAlign w:val="center"/>
          </w:tcPr>
          <w:p w14:paraId="265808C7"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kern w:val="0"/>
                <w:sz w:val="20"/>
                <w:szCs w:val="20"/>
                <w:lang w:eastAsia="pt-BR"/>
                <w14:ligatures w14:val="none"/>
              </w:rPr>
              <w:t>Interpretações predominantemente sobrenaturais, mas com continuidade de tradições médicas. O corpo sem controle era visto como vaso para forças externas, refletindo uma visão de mundo em que o sobrenatural explicava a patologia.</w:t>
            </w:r>
          </w:p>
        </w:tc>
      </w:tr>
      <w:tr w:rsidR="0003312E" w14:paraId="2E56E43B" w14:textId="77777777">
        <w:tc>
          <w:tcPr>
            <w:tcW w:w="0" w:type="auto"/>
            <w:tcMar>
              <w:top w:w="150" w:type="dxa"/>
              <w:left w:w="0" w:type="dxa"/>
              <w:bottom w:w="150" w:type="dxa"/>
              <w:right w:w="240" w:type="dxa"/>
            </w:tcMar>
            <w:vAlign w:val="center"/>
          </w:tcPr>
          <w:p w14:paraId="5FD8D141" w14:textId="77777777" w:rsidR="0003312E" w:rsidRDefault="00000000">
            <w:pPr>
              <w:spacing w:after="0" w:line="240" w:lineRule="auto"/>
              <w:rPr>
                <w:rFonts w:ascii="Times New Roman" w:eastAsia="Times New Roman" w:hAnsi="Times New Roman" w:cs="Times New Roman"/>
                <w:b/>
                <w:bCs/>
                <w:kern w:val="0"/>
                <w:sz w:val="20"/>
                <w:szCs w:val="20"/>
                <w:lang w:eastAsia="pt-BR"/>
                <w14:ligatures w14:val="none"/>
              </w:rPr>
            </w:pPr>
            <w:r>
              <w:rPr>
                <w:rFonts w:ascii="Times New Roman" w:eastAsia="Times New Roman" w:hAnsi="Times New Roman" w:cs="Times New Roman"/>
                <w:b/>
                <w:bCs/>
                <w:kern w:val="0"/>
                <w:sz w:val="20"/>
                <w:szCs w:val="20"/>
                <w:lang w:eastAsia="pt-BR"/>
                <w14:ligatures w14:val="none"/>
              </w:rPr>
              <w:t>Renascimento</w:t>
            </w:r>
          </w:p>
        </w:tc>
        <w:tc>
          <w:tcPr>
            <w:tcW w:w="0" w:type="auto"/>
            <w:tcMar>
              <w:top w:w="150" w:type="dxa"/>
              <w:left w:w="240" w:type="dxa"/>
              <w:bottom w:w="150" w:type="dxa"/>
              <w:right w:w="240" w:type="dxa"/>
            </w:tcMar>
            <w:vAlign w:val="center"/>
          </w:tcPr>
          <w:p w14:paraId="1BE09E4E"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kern w:val="0"/>
                <w:sz w:val="20"/>
                <w:szCs w:val="20"/>
                <w:lang w:eastAsia="pt-BR"/>
                <w14:ligatures w14:val="none"/>
              </w:rPr>
              <w:t>Frenesi como paixão criativa</w:t>
            </w:r>
          </w:p>
        </w:tc>
        <w:tc>
          <w:tcPr>
            <w:tcW w:w="0" w:type="auto"/>
            <w:tcMar>
              <w:top w:w="150" w:type="dxa"/>
              <w:left w:w="240" w:type="dxa"/>
              <w:bottom w:w="150" w:type="dxa"/>
              <w:right w:w="0" w:type="dxa"/>
            </w:tcMar>
            <w:vAlign w:val="center"/>
          </w:tcPr>
          <w:p w14:paraId="1325DB33"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kern w:val="0"/>
                <w:sz w:val="20"/>
                <w:szCs w:val="20"/>
                <w:lang w:eastAsia="pt-BR"/>
                <w14:ligatures w14:val="none"/>
              </w:rPr>
              <w:t>Deixa de ser apenas patologia para tornar-se metáfora do gênio artístico. A agitação mental passa a ser associada à inspiração febril e à criação desmedida, quase divina.</w:t>
            </w:r>
          </w:p>
        </w:tc>
      </w:tr>
      <w:tr w:rsidR="0003312E" w14:paraId="6F992CDC" w14:textId="77777777">
        <w:tc>
          <w:tcPr>
            <w:tcW w:w="0" w:type="auto"/>
            <w:tcMar>
              <w:top w:w="150" w:type="dxa"/>
              <w:left w:w="0" w:type="dxa"/>
              <w:bottom w:w="150" w:type="dxa"/>
              <w:right w:w="240" w:type="dxa"/>
            </w:tcMar>
            <w:vAlign w:val="center"/>
          </w:tcPr>
          <w:p w14:paraId="567E87D2" w14:textId="77777777" w:rsidR="0003312E" w:rsidRDefault="00000000">
            <w:pPr>
              <w:spacing w:after="0" w:line="240" w:lineRule="auto"/>
              <w:rPr>
                <w:rFonts w:ascii="Times New Roman" w:eastAsia="Times New Roman" w:hAnsi="Times New Roman" w:cs="Times New Roman"/>
                <w:b/>
                <w:bCs/>
                <w:kern w:val="0"/>
                <w:sz w:val="20"/>
                <w:szCs w:val="20"/>
                <w:lang w:eastAsia="pt-BR"/>
                <w14:ligatures w14:val="none"/>
              </w:rPr>
            </w:pPr>
            <w:r>
              <w:rPr>
                <w:rFonts w:ascii="Times New Roman" w:eastAsia="Times New Roman" w:hAnsi="Times New Roman" w:cs="Times New Roman"/>
                <w:b/>
                <w:bCs/>
                <w:kern w:val="0"/>
                <w:sz w:val="20"/>
                <w:szCs w:val="20"/>
                <w:lang w:eastAsia="pt-BR"/>
                <w14:ligatures w14:val="none"/>
              </w:rPr>
              <w:t>Século XIX</w:t>
            </w:r>
          </w:p>
        </w:tc>
        <w:tc>
          <w:tcPr>
            <w:tcW w:w="0" w:type="auto"/>
            <w:tcMar>
              <w:top w:w="150" w:type="dxa"/>
              <w:left w:w="240" w:type="dxa"/>
              <w:bottom w:w="150" w:type="dxa"/>
              <w:right w:w="240" w:type="dxa"/>
            </w:tcMar>
            <w:vAlign w:val="center"/>
          </w:tcPr>
          <w:p w14:paraId="4F2D5BB4"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kern w:val="0"/>
                <w:sz w:val="20"/>
                <w:szCs w:val="20"/>
                <w:lang w:eastAsia="pt-BR"/>
                <w14:ligatures w14:val="none"/>
              </w:rPr>
              <w:t>Nietzsche resgata o conceito</w:t>
            </w:r>
          </w:p>
        </w:tc>
        <w:tc>
          <w:tcPr>
            <w:tcW w:w="0" w:type="auto"/>
            <w:tcMar>
              <w:top w:w="150" w:type="dxa"/>
              <w:left w:w="240" w:type="dxa"/>
              <w:bottom w:w="150" w:type="dxa"/>
              <w:right w:w="0" w:type="dxa"/>
            </w:tcMar>
            <w:vAlign w:val="center"/>
          </w:tcPr>
          <w:p w14:paraId="1A23EF1F"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kern w:val="0"/>
                <w:sz w:val="20"/>
                <w:szCs w:val="20"/>
                <w:lang w:eastAsia="pt-BR"/>
                <w14:ligatures w14:val="none"/>
              </w:rPr>
              <w:t>Reinterpreta o frenesi não como doença, mas como força vital dionisíaca. Em O Nascimento da Tragédia, ele o eleva a condição de motor primordial da arte e da superação humana.</w:t>
            </w:r>
          </w:p>
        </w:tc>
      </w:tr>
      <w:tr w:rsidR="0003312E" w14:paraId="3CCD176D" w14:textId="77777777">
        <w:tc>
          <w:tcPr>
            <w:tcW w:w="0" w:type="auto"/>
            <w:tcMar>
              <w:top w:w="150" w:type="dxa"/>
              <w:left w:w="0" w:type="dxa"/>
              <w:bottom w:w="150" w:type="dxa"/>
              <w:right w:w="240" w:type="dxa"/>
            </w:tcMar>
            <w:vAlign w:val="center"/>
          </w:tcPr>
          <w:p w14:paraId="625AE164" w14:textId="77777777" w:rsidR="0003312E" w:rsidRDefault="00000000">
            <w:pPr>
              <w:spacing w:after="0" w:line="240" w:lineRule="auto"/>
              <w:rPr>
                <w:rFonts w:ascii="Times New Roman" w:eastAsia="Times New Roman" w:hAnsi="Times New Roman" w:cs="Times New Roman"/>
                <w:b/>
                <w:bCs/>
                <w:kern w:val="0"/>
                <w:sz w:val="20"/>
                <w:szCs w:val="20"/>
                <w:lang w:eastAsia="pt-BR"/>
                <w14:ligatures w14:val="none"/>
              </w:rPr>
            </w:pPr>
            <w:r>
              <w:rPr>
                <w:rFonts w:ascii="Times New Roman" w:eastAsia="Times New Roman" w:hAnsi="Times New Roman" w:cs="Times New Roman"/>
                <w:b/>
                <w:bCs/>
                <w:kern w:val="0"/>
                <w:sz w:val="20"/>
                <w:szCs w:val="20"/>
                <w:lang w:eastAsia="pt-BR"/>
                <w14:ligatures w14:val="none"/>
              </w:rPr>
              <w:t>Séculos XX-XXI</w:t>
            </w:r>
          </w:p>
        </w:tc>
        <w:tc>
          <w:tcPr>
            <w:tcW w:w="0" w:type="auto"/>
            <w:tcMar>
              <w:top w:w="150" w:type="dxa"/>
              <w:left w:w="240" w:type="dxa"/>
              <w:bottom w:w="150" w:type="dxa"/>
              <w:right w:w="240" w:type="dxa"/>
            </w:tcMar>
            <w:vAlign w:val="center"/>
          </w:tcPr>
          <w:p w14:paraId="5385A1B4"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b/>
                <w:bCs/>
                <w:kern w:val="0"/>
                <w:sz w:val="20"/>
                <w:szCs w:val="20"/>
                <w:lang w:eastAsia="pt-BR"/>
                <w14:ligatures w14:val="none"/>
              </w:rPr>
              <w:t>Neurociência investiga os correlatos neurais</w:t>
            </w:r>
          </w:p>
        </w:tc>
        <w:tc>
          <w:tcPr>
            <w:tcW w:w="0" w:type="auto"/>
            <w:tcMar>
              <w:top w:w="150" w:type="dxa"/>
              <w:left w:w="240" w:type="dxa"/>
              <w:bottom w:w="150" w:type="dxa"/>
              <w:right w:w="0" w:type="dxa"/>
            </w:tcMar>
            <w:vAlign w:val="center"/>
          </w:tcPr>
          <w:p w14:paraId="48995134"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kern w:val="0"/>
                <w:sz w:val="20"/>
                <w:szCs w:val="20"/>
                <w:lang w:eastAsia="pt-BR"/>
                <w14:ligatures w14:val="none"/>
              </w:rPr>
              <w:t>Estudos de neuroimagem identificam padrões de atividade neural associados a estados de hiperativação emocional, integrando perspectivas biológicas com dimensões psicológicas.</w:t>
            </w:r>
          </w:p>
        </w:tc>
      </w:tr>
    </w:tbl>
    <w:p w14:paraId="23087AC7" w14:textId="77777777" w:rsidR="0003312E" w:rsidRDefault="0003312E">
      <w:pPr>
        <w:shd w:val="clear" w:color="auto" w:fill="FFFFFF"/>
        <w:spacing w:after="0" w:line="360" w:lineRule="auto"/>
        <w:ind w:firstLine="709"/>
        <w:jc w:val="both"/>
        <w:rPr>
          <w:rFonts w:ascii="Times New Roman" w:eastAsia="Times New Roman" w:hAnsi="Times New Roman" w:cs="Times New Roman"/>
          <w:b/>
          <w:bCs/>
          <w:color w:val="0F1115"/>
          <w:kern w:val="0"/>
          <w:sz w:val="24"/>
          <w:szCs w:val="24"/>
          <w:lang w:eastAsia="pt-BR"/>
          <w14:ligatures w14:val="none"/>
        </w:rPr>
      </w:pPr>
    </w:p>
    <w:p w14:paraId="175AF764"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b/>
          <w:bCs/>
          <w:color w:val="0F1115"/>
          <w:kern w:val="0"/>
          <w:sz w:val="24"/>
          <w:szCs w:val="24"/>
          <w:lang w:eastAsia="pt-BR"/>
          <w14:ligatures w14:val="none"/>
        </w:rPr>
        <w:t>Em Essência: as Quatro Dimensões do Frenesi</w:t>
      </w:r>
    </w:p>
    <w:p w14:paraId="17D17BAA"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b/>
          <w:bCs/>
          <w:color w:val="0F1115"/>
          <w:kern w:val="0"/>
          <w:sz w:val="24"/>
          <w:szCs w:val="24"/>
          <w:lang w:eastAsia="pt-BR"/>
          <w14:ligatures w14:val="none"/>
        </w:rPr>
        <w:t>1. A Dimensão Etimológica: A Mente Inflamada</w:t>
      </w:r>
    </w:p>
    <w:p w14:paraId="5A81F568"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 xml:space="preserve">A palavra "frenesi" tem sua origem no grego </w:t>
      </w:r>
      <w:proofErr w:type="spellStart"/>
      <w:r>
        <w:rPr>
          <w:rFonts w:ascii="Times New Roman" w:eastAsia="Times New Roman" w:hAnsi="Times New Roman" w:cs="Times New Roman"/>
          <w:color w:val="0F1115"/>
          <w:kern w:val="0"/>
          <w:sz w:val="24"/>
          <w:szCs w:val="24"/>
          <w:lang w:eastAsia="pt-BR"/>
          <w14:ligatures w14:val="none"/>
        </w:rPr>
        <w:t>phrenesis</w:t>
      </w:r>
      <w:proofErr w:type="spellEnd"/>
      <w:r>
        <w:rPr>
          <w:rFonts w:ascii="Times New Roman" w:eastAsia="Times New Roman" w:hAnsi="Times New Roman" w:cs="Times New Roman"/>
          <w:color w:val="0F1115"/>
          <w:kern w:val="0"/>
          <w:sz w:val="24"/>
          <w:szCs w:val="24"/>
          <w:lang w:eastAsia="pt-BR"/>
          <w14:ligatures w14:val="none"/>
        </w:rPr>
        <w:t xml:space="preserve">, que significa delírio, um termo derivado de </w:t>
      </w:r>
      <w:proofErr w:type="spellStart"/>
      <w:r>
        <w:rPr>
          <w:rFonts w:ascii="Times New Roman" w:eastAsia="Times New Roman" w:hAnsi="Times New Roman" w:cs="Times New Roman"/>
          <w:color w:val="0F1115"/>
          <w:kern w:val="0"/>
          <w:sz w:val="24"/>
          <w:szCs w:val="24"/>
          <w:lang w:eastAsia="pt-BR"/>
          <w14:ligatures w14:val="none"/>
        </w:rPr>
        <w:t>phrēn</w:t>
      </w:r>
      <w:proofErr w:type="spellEnd"/>
      <w:r>
        <w:rPr>
          <w:rFonts w:ascii="Times New Roman" w:eastAsia="Times New Roman" w:hAnsi="Times New Roman" w:cs="Times New Roman"/>
          <w:color w:val="0F1115"/>
          <w:kern w:val="0"/>
          <w:sz w:val="24"/>
          <w:szCs w:val="24"/>
          <w:lang w:eastAsia="pt-BR"/>
          <w14:ligatures w14:val="none"/>
        </w:rPr>
        <w:t xml:space="preserve"> – um conceito que abrangia tanto a mente quanto as entranhas, refletindo uma visão corporal e visceral do pensamento na Grécia antiga. O sufixo -</w:t>
      </w:r>
      <w:proofErr w:type="spellStart"/>
      <w:r>
        <w:rPr>
          <w:rFonts w:ascii="Times New Roman" w:eastAsia="Times New Roman" w:hAnsi="Times New Roman" w:cs="Times New Roman"/>
          <w:color w:val="0F1115"/>
          <w:kern w:val="0"/>
          <w:sz w:val="24"/>
          <w:szCs w:val="24"/>
          <w:lang w:eastAsia="pt-BR"/>
          <w14:ligatures w14:val="none"/>
        </w:rPr>
        <w:t>sis</w:t>
      </w:r>
      <w:proofErr w:type="spellEnd"/>
      <w:r>
        <w:rPr>
          <w:rFonts w:ascii="Times New Roman" w:eastAsia="Times New Roman" w:hAnsi="Times New Roman" w:cs="Times New Roman"/>
          <w:color w:val="0F1115"/>
          <w:kern w:val="0"/>
          <w:sz w:val="24"/>
          <w:szCs w:val="24"/>
          <w:lang w:eastAsia="pt-BR"/>
          <w14:ligatures w14:val="none"/>
        </w:rPr>
        <w:t xml:space="preserve"> indicava um processo em curso, transformando a ideia em "um processo de exaltação mental". Enquanto "</w:t>
      </w:r>
      <w:proofErr w:type="spellStart"/>
      <w:r>
        <w:rPr>
          <w:rFonts w:ascii="Times New Roman" w:eastAsia="Times New Roman" w:hAnsi="Times New Roman" w:cs="Times New Roman"/>
          <w:color w:val="0F1115"/>
          <w:kern w:val="0"/>
          <w:sz w:val="24"/>
          <w:szCs w:val="24"/>
          <w:lang w:eastAsia="pt-BR"/>
          <w14:ligatures w14:val="none"/>
        </w:rPr>
        <w:t>frenite</w:t>
      </w:r>
      <w:proofErr w:type="spellEnd"/>
      <w:r>
        <w:rPr>
          <w:rFonts w:ascii="Times New Roman" w:eastAsia="Times New Roman" w:hAnsi="Times New Roman" w:cs="Times New Roman"/>
          <w:color w:val="0F1115"/>
          <w:kern w:val="0"/>
          <w:sz w:val="24"/>
          <w:szCs w:val="24"/>
          <w:lang w:eastAsia="pt-BR"/>
          <w14:ligatures w14:val="none"/>
        </w:rPr>
        <w:t>" seguiu um caminho médico, com o sufixo -</w:t>
      </w:r>
      <w:proofErr w:type="spellStart"/>
      <w:r>
        <w:rPr>
          <w:rFonts w:ascii="Times New Roman" w:eastAsia="Times New Roman" w:hAnsi="Times New Roman" w:cs="Times New Roman"/>
          <w:color w:val="0F1115"/>
          <w:kern w:val="0"/>
          <w:sz w:val="24"/>
          <w:szCs w:val="24"/>
          <w:lang w:eastAsia="pt-BR"/>
          <w14:ligatures w14:val="none"/>
        </w:rPr>
        <w:t>ite</w:t>
      </w:r>
      <w:proofErr w:type="spellEnd"/>
      <w:r>
        <w:rPr>
          <w:rFonts w:ascii="Times New Roman" w:eastAsia="Times New Roman" w:hAnsi="Times New Roman" w:cs="Times New Roman"/>
          <w:color w:val="0F1115"/>
          <w:kern w:val="0"/>
          <w:sz w:val="24"/>
          <w:szCs w:val="24"/>
          <w:lang w:eastAsia="pt-BR"/>
          <w14:ligatures w14:val="none"/>
        </w:rPr>
        <w:t xml:space="preserve"> apontando para inflamação, "frenesi" assumiu um sentido filosófico, descrevendo um estado de delírio e exaltação da alma. No latim, </w:t>
      </w:r>
      <w:proofErr w:type="spellStart"/>
      <w:r>
        <w:rPr>
          <w:rFonts w:ascii="Times New Roman" w:eastAsia="Times New Roman" w:hAnsi="Times New Roman" w:cs="Times New Roman"/>
          <w:color w:val="0F1115"/>
          <w:kern w:val="0"/>
          <w:sz w:val="24"/>
          <w:szCs w:val="24"/>
          <w:lang w:eastAsia="pt-BR"/>
          <w14:ligatures w14:val="none"/>
        </w:rPr>
        <w:t>phrenesis</w:t>
      </w:r>
      <w:proofErr w:type="spellEnd"/>
      <w:r>
        <w:rPr>
          <w:rFonts w:ascii="Times New Roman" w:eastAsia="Times New Roman" w:hAnsi="Times New Roman" w:cs="Times New Roman"/>
          <w:color w:val="0F1115"/>
          <w:kern w:val="0"/>
          <w:sz w:val="24"/>
          <w:szCs w:val="24"/>
          <w:lang w:eastAsia="pt-BR"/>
          <w14:ligatures w14:val="none"/>
        </w:rPr>
        <w:t xml:space="preserve"> mantém esse significado, sendo definida como loucura, delírio ou frenesi. Celso (3, 18) esclarece que a </w:t>
      </w:r>
      <w:proofErr w:type="spellStart"/>
      <w:r>
        <w:rPr>
          <w:rFonts w:ascii="Times New Roman" w:eastAsia="Times New Roman" w:hAnsi="Times New Roman" w:cs="Times New Roman"/>
          <w:color w:val="0F1115"/>
          <w:kern w:val="0"/>
          <w:sz w:val="24"/>
          <w:szCs w:val="24"/>
          <w:lang w:eastAsia="pt-BR"/>
          <w14:ligatures w14:val="none"/>
        </w:rPr>
        <w:t>phrenesis</w:t>
      </w:r>
      <w:proofErr w:type="spellEnd"/>
      <w:r>
        <w:rPr>
          <w:rFonts w:ascii="Times New Roman" w:eastAsia="Times New Roman" w:hAnsi="Times New Roman" w:cs="Times New Roman"/>
          <w:color w:val="0F1115"/>
          <w:kern w:val="0"/>
          <w:sz w:val="24"/>
          <w:szCs w:val="24"/>
          <w:lang w:eastAsia="pt-BR"/>
          <w14:ligatures w14:val="none"/>
        </w:rPr>
        <w:t xml:space="preserve"> se caracteriza quando uma demência se torna contínua. O termo também foi utilizado por outros autores: Séneca (de Ira, 1, 13, 3) refere-se à "</w:t>
      </w:r>
      <w:proofErr w:type="spellStart"/>
      <w:r>
        <w:rPr>
          <w:rFonts w:ascii="Times New Roman" w:eastAsia="Times New Roman" w:hAnsi="Times New Roman" w:cs="Times New Roman"/>
          <w:color w:val="0F1115"/>
          <w:kern w:val="0"/>
          <w:sz w:val="24"/>
          <w:szCs w:val="24"/>
          <w:lang w:eastAsia="pt-BR"/>
          <w14:ligatures w14:val="none"/>
        </w:rPr>
        <w:t>phrenesis</w:t>
      </w:r>
      <w:proofErr w:type="spellEnd"/>
      <w:r>
        <w:rPr>
          <w:rFonts w:ascii="Times New Roman" w:eastAsia="Times New Roman" w:hAnsi="Times New Roman" w:cs="Times New Roman"/>
          <w:color w:val="0F1115"/>
          <w:kern w:val="0"/>
          <w:sz w:val="24"/>
          <w:szCs w:val="24"/>
          <w:lang w:eastAsia="pt-BR"/>
          <w14:ligatures w14:val="none"/>
        </w:rPr>
        <w:t xml:space="preserve"> e insanidade necessárias para a força", Juvenal (14, 136) menciona uma "</w:t>
      </w:r>
      <w:proofErr w:type="spellStart"/>
      <w:r>
        <w:rPr>
          <w:rFonts w:ascii="Times New Roman" w:eastAsia="Times New Roman" w:hAnsi="Times New Roman" w:cs="Times New Roman"/>
          <w:color w:val="0F1115"/>
          <w:kern w:val="0"/>
          <w:sz w:val="24"/>
          <w:szCs w:val="24"/>
          <w:lang w:eastAsia="pt-BR"/>
          <w14:ligatures w14:val="none"/>
        </w:rPr>
        <w:t>phrenesis</w:t>
      </w:r>
      <w:proofErr w:type="spellEnd"/>
      <w:r>
        <w:rPr>
          <w:rFonts w:ascii="Times New Roman" w:eastAsia="Times New Roman" w:hAnsi="Times New Roman" w:cs="Times New Roman"/>
          <w:color w:val="0F1115"/>
          <w:kern w:val="0"/>
          <w:sz w:val="24"/>
          <w:szCs w:val="24"/>
          <w:lang w:eastAsia="pt-BR"/>
          <w14:ligatures w14:val="none"/>
        </w:rPr>
        <w:t xml:space="preserve"> manifesta", e </w:t>
      </w:r>
      <w:r>
        <w:rPr>
          <w:rFonts w:ascii="Times New Roman" w:eastAsia="Times New Roman" w:hAnsi="Times New Roman" w:cs="Times New Roman"/>
          <w:color w:val="0F1115"/>
          <w:kern w:val="0"/>
          <w:sz w:val="24"/>
          <w:szCs w:val="24"/>
          <w:lang w:eastAsia="pt-BR"/>
          <w14:ligatures w14:val="none"/>
        </w:rPr>
        <w:lastRenderedPageBreak/>
        <w:t xml:space="preserve">seu uso é ainda atestado em Ser. </w:t>
      </w:r>
      <w:proofErr w:type="spellStart"/>
      <w:r>
        <w:rPr>
          <w:rFonts w:ascii="Times New Roman" w:eastAsia="Times New Roman" w:hAnsi="Times New Roman" w:cs="Times New Roman"/>
          <w:color w:val="0F1115"/>
          <w:kern w:val="0"/>
          <w:sz w:val="24"/>
          <w:szCs w:val="24"/>
          <w:lang w:eastAsia="pt-BR"/>
          <w14:ligatures w14:val="none"/>
        </w:rPr>
        <w:t>Samm</w:t>
      </w:r>
      <w:proofErr w:type="spellEnd"/>
      <w:r>
        <w:rPr>
          <w:rFonts w:ascii="Times New Roman" w:eastAsia="Times New Roman" w:hAnsi="Times New Roman" w:cs="Times New Roman"/>
          <w:color w:val="0F1115"/>
          <w:kern w:val="0"/>
          <w:sz w:val="24"/>
          <w:szCs w:val="24"/>
          <w:lang w:eastAsia="pt-BR"/>
          <w14:ligatures w14:val="none"/>
        </w:rPr>
        <w:t xml:space="preserve">. (7, 90) e </w:t>
      </w:r>
      <w:proofErr w:type="spellStart"/>
      <w:r>
        <w:rPr>
          <w:rFonts w:ascii="Times New Roman" w:eastAsia="Times New Roman" w:hAnsi="Times New Roman" w:cs="Times New Roman"/>
          <w:color w:val="0F1115"/>
          <w:kern w:val="0"/>
          <w:sz w:val="24"/>
          <w:szCs w:val="24"/>
          <w:lang w:eastAsia="pt-BR"/>
          <w14:ligatures w14:val="none"/>
        </w:rPr>
        <w:t>Prud</w:t>
      </w:r>
      <w:proofErr w:type="spellEnd"/>
      <w:r>
        <w:rPr>
          <w:rFonts w:ascii="Times New Roman" w:eastAsia="Times New Roman" w:hAnsi="Times New Roman" w:cs="Times New Roman"/>
          <w:color w:val="0F1115"/>
          <w:kern w:val="0"/>
          <w:sz w:val="24"/>
          <w:szCs w:val="24"/>
          <w:lang w:eastAsia="pt-BR"/>
          <w14:ligatures w14:val="none"/>
        </w:rPr>
        <w:t>. (</w:t>
      </w:r>
      <w:proofErr w:type="spellStart"/>
      <w:r>
        <w:rPr>
          <w:rFonts w:ascii="Times New Roman" w:eastAsia="Times New Roman" w:hAnsi="Times New Roman" w:cs="Times New Roman"/>
          <w:color w:val="0F1115"/>
          <w:kern w:val="0"/>
          <w:sz w:val="24"/>
          <w:szCs w:val="24"/>
          <w:lang w:eastAsia="pt-BR"/>
          <w14:ligatures w14:val="none"/>
        </w:rPr>
        <w:t>Hamart</w:t>
      </w:r>
      <w:proofErr w:type="spellEnd"/>
      <w:r>
        <w:rPr>
          <w:rFonts w:ascii="Times New Roman" w:eastAsia="Times New Roman" w:hAnsi="Times New Roman" w:cs="Times New Roman"/>
          <w:color w:val="0F1115"/>
          <w:kern w:val="0"/>
          <w:sz w:val="24"/>
          <w:szCs w:val="24"/>
          <w:lang w:eastAsia="pt-BR"/>
          <w14:ligatures w14:val="none"/>
        </w:rPr>
        <w:t xml:space="preserve">. 125). É relevante notar que, em algumas versões do texto de Celso, a palavra aparece como </w:t>
      </w:r>
      <w:proofErr w:type="spellStart"/>
      <w:r>
        <w:rPr>
          <w:rFonts w:ascii="Times New Roman" w:eastAsia="Times New Roman" w:hAnsi="Times New Roman" w:cs="Times New Roman"/>
          <w:color w:val="0F1115"/>
          <w:kern w:val="0"/>
          <w:sz w:val="24"/>
          <w:szCs w:val="24"/>
          <w:lang w:eastAsia="pt-BR"/>
          <w14:ligatures w14:val="none"/>
        </w:rPr>
        <w:t>phrenitis</w:t>
      </w:r>
      <w:proofErr w:type="spellEnd"/>
      <w:r>
        <w:rPr>
          <w:rFonts w:ascii="Times New Roman" w:eastAsia="Times New Roman" w:hAnsi="Times New Roman" w:cs="Times New Roman"/>
          <w:color w:val="0F1115"/>
          <w:kern w:val="0"/>
          <w:sz w:val="24"/>
          <w:szCs w:val="24"/>
          <w:lang w:eastAsia="pt-BR"/>
          <w14:ligatures w14:val="none"/>
        </w:rPr>
        <w:t>.</w:t>
      </w:r>
    </w:p>
    <w:p w14:paraId="46B09004" w14:textId="77777777" w:rsidR="0003312E" w:rsidRDefault="0003312E">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p>
    <w:p w14:paraId="7E91BF3E"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b/>
          <w:bCs/>
          <w:color w:val="0F1115"/>
          <w:kern w:val="0"/>
          <w:sz w:val="24"/>
          <w:szCs w:val="24"/>
          <w:lang w:eastAsia="pt-BR"/>
          <w14:ligatures w14:val="none"/>
        </w:rPr>
        <w:t>2. A Dimensão Histórico-Clínica: Da Possessão à Paixão</w:t>
      </w:r>
    </w:p>
    <w:p w14:paraId="3862ACE7"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A compreensão do frenesi percorreu um caminho fascinante: começou como diagnóstico médico na Grécia Antiga, transformou-se em possessão demoníaca na Idade Média, e ressurgiu no Renascimento como símbolo da genialidade artística. Figuras como Beethoven e Caravaggio personificavam essa ideia de que a grande criatividade exigia uma certa dose de fogo interior. No século XIX, Nietzsche deu o passo final ao transformar o frenesi de patologia em potência filosófica, vendo nele a força dionisíaca necessária para a criação autêntica e a superação dos limites convencionais.</w:t>
      </w:r>
    </w:p>
    <w:p w14:paraId="3C8FEBAA" w14:textId="77777777" w:rsidR="0003312E" w:rsidRDefault="0003312E">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p>
    <w:p w14:paraId="7850B91D"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b/>
          <w:bCs/>
          <w:color w:val="0F1115"/>
          <w:kern w:val="0"/>
          <w:sz w:val="24"/>
          <w:szCs w:val="24"/>
          <w:lang w:eastAsia="pt-BR"/>
          <w14:ligatures w14:val="none"/>
        </w:rPr>
        <w:t>3. A Dimensão Neurocientífica: A Tempestade Neural</w:t>
      </w:r>
    </w:p>
    <w:p w14:paraId="4BDA7E01"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A compreensão contemporânea do fenômeno revela correlatos neurais caracterizados por significativa desregulação. Evidências neurocientíficas apontam para um padrão específico: hiperatividade no sistema límbico - particularmente na amígdala e hipocampo - associada a comprometimentos no funcionamento do córtex pré-frontal (</w:t>
      </w:r>
      <w:proofErr w:type="spellStart"/>
      <w:r>
        <w:rPr>
          <w:rFonts w:ascii="Times New Roman" w:eastAsia="Times New Roman" w:hAnsi="Times New Roman" w:cs="Times New Roman"/>
          <w:color w:val="0F1115"/>
          <w:kern w:val="0"/>
          <w:sz w:val="24"/>
          <w:szCs w:val="24"/>
          <w:lang w:eastAsia="pt-BR"/>
          <w14:ligatures w14:val="none"/>
        </w:rPr>
        <w:t>ventromedial</w:t>
      </w:r>
      <w:proofErr w:type="spellEnd"/>
      <w:r>
        <w:rPr>
          <w:rFonts w:ascii="Times New Roman" w:eastAsia="Times New Roman" w:hAnsi="Times New Roman" w:cs="Times New Roman"/>
          <w:color w:val="0F1115"/>
          <w:kern w:val="0"/>
          <w:sz w:val="24"/>
          <w:szCs w:val="24"/>
          <w:lang w:eastAsia="pt-BR"/>
          <w14:ligatures w14:val="none"/>
        </w:rPr>
        <w:t xml:space="preserve">, </w:t>
      </w:r>
      <w:proofErr w:type="spellStart"/>
      <w:r>
        <w:rPr>
          <w:rFonts w:ascii="Times New Roman" w:eastAsia="Times New Roman" w:hAnsi="Times New Roman" w:cs="Times New Roman"/>
          <w:color w:val="0F1115"/>
          <w:kern w:val="0"/>
          <w:sz w:val="24"/>
          <w:szCs w:val="24"/>
          <w:lang w:eastAsia="pt-BR"/>
          <w14:ligatures w14:val="none"/>
        </w:rPr>
        <w:t>dorsomedial</w:t>
      </w:r>
      <w:proofErr w:type="spellEnd"/>
      <w:r>
        <w:rPr>
          <w:rFonts w:ascii="Times New Roman" w:eastAsia="Times New Roman" w:hAnsi="Times New Roman" w:cs="Times New Roman"/>
          <w:color w:val="0F1115"/>
          <w:kern w:val="0"/>
          <w:sz w:val="24"/>
          <w:szCs w:val="24"/>
          <w:lang w:eastAsia="pt-BR"/>
          <w14:ligatures w14:val="none"/>
        </w:rPr>
        <w:t xml:space="preserve"> e dorsolateral).</w:t>
      </w:r>
    </w:p>
    <w:p w14:paraId="1820B891"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Esse desequilíbrio se manifesta como uma desconexão entre os centros emocionais e as regiões responsáveis pelo controle executivo e regulação racional. O resultado é um estado de hiperexcitação mental que pode oscilar entre a concentração criativa intensa e a agitação psicomotora descontrolada. Padrões semelhantes de variabilidade neural são observados em condições como TDAH, transtorno bipolar e transtorno de personalidade borderline, o que reforça a ideia de um espectro de hiperativação emocional com um substrato neural compartilhado — embora cada contexto mantenha suas particularidades clínicas.</w:t>
      </w:r>
    </w:p>
    <w:p w14:paraId="3A55621A"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É precisamente nesse terreno neural comum que a nuance se faz necessária, exigindo uma distinção fundamental. O 'frenesi' como arquétipo filosófico e força criativa, tal como explorado por Nietzsche, é uma metáfora cultural para estados de produtividade extrema e paixão intelectual. Ele habita o domínio da experiência humana ampliada. Em contraste, um episódio maníaco ou hipomaníaco no Transtorno Bipolar, ou a agitação psicomotora em outras condições psiquiátricas, é uma síndrome clínica patológica, caracterizada por sofrimento significativo, prejuízo funcional, riscos concretos à saúde e um comprometimento do teste de realidade.</w:t>
      </w:r>
    </w:p>
    <w:p w14:paraId="78A14799"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lastRenderedPageBreak/>
        <w:t>Enquanto o frenesi filosófico pode ser uma elevação (ainda que caótica) do espírito, a mania clínica é frequentemente uma experiência de desorganização e angústia. A neurociência, ao revelar os substratos neurais da excitação mental, não reduz a genialidade à patologia. Pelo contrário, ela nos ajuda a traçar uma fronteira de respeito: a mesma tempestade neural que, em um contexto de resiliência e estrutura psíquica, pode incendiar a criação artística, em um cérebro vulnerável, pode desencadear uma crise que exige cuidado e intervenção médica.</w:t>
      </w:r>
    </w:p>
    <w:p w14:paraId="5E44B5B6"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 xml:space="preserve">A lição </w:t>
      </w:r>
      <w:proofErr w:type="spellStart"/>
      <w:r>
        <w:rPr>
          <w:rFonts w:ascii="Times New Roman" w:eastAsia="Times New Roman" w:hAnsi="Times New Roman" w:cs="Times New Roman"/>
          <w:color w:val="0F1115"/>
          <w:kern w:val="0"/>
          <w:sz w:val="24"/>
          <w:szCs w:val="24"/>
          <w:lang w:eastAsia="pt-BR"/>
          <w14:ligatures w14:val="none"/>
        </w:rPr>
        <w:t>neuroetimológica</w:t>
      </w:r>
      <w:proofErr w:type="spellEnd"/>
      <w:r>
        <w:rPr>
          <w:rFonts w:ascii="Times New Roman" w:eastAsia="Times New Roman" w:hAnsi="Times New Roman" w:cs="Times New Roman"/>
          <w:color w:val="0F1115"/>
          <w:kern w:val="0"/>
          <w:sz w:val="24"/>
          <w:szCs w:val="24"/>
          <w:lang w:eastAsia="pt-BR"/>
          <w14:ligatures w14:val="none"/>
        </w:rPr>
        <w:t xml:space="preserve"> do frenesi é, portanto, uma lição de nuance: celebrar o fogo da mente sem romantizar o sofrimento que esse mesmo fogo pode causar quando se torna incontrolável. Esta perspectiva moderna oferece insights sobre dicotomias históricas, demonstrando que a tensão entre emoção e razão - discutida desde a tradição hipocrática dos humores até os debates filosóficos sobre paixão e autocontrole - possui bases mensuráveis na arquitetura cerebral, mas cujas expressões na vida concreta exigem uma compreensão que vá além do laboratório.</w:t>
      </w:r>
    </w:p>
    <w:p w14:paraId="0CFBEE26" w14:textId="77777777" w:rsidR="0003312E" w:rsidRDefault="0003312E">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p>
    <w:p w14:paraId="37EBD1EA"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b/>
          <w:bCs/>
          <w:color w:val="0F1115"/>
          <w:kern w:val="0"/>
          <w:sz w:val="24"/>
          <w:szCs w:val="24"/>
          <w:lang w:eastAsia="pt-BR"/>
          <w14:ligatures w14:val="none"/>
        </w:rPr>
        <w:t>4. A Dimensão Poético-Filosófica: O Fogo de Dionísio</w:t>
      </w:r>
    </w:p>
    <w:p w14:paraId="6CE0DAFE"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No plano simbólico, o frenesi encontra sua melhor expressão em Dionísio, o deus grego do êxtase e do teatro, que representa a força primordial que dissolve os limites da razão e libera as paixões mais profundas. Nietzsche elevou este conceito ao argumentar que a verdadeira grandeza nasce do equilíbrio tenso entre a ordem apolínea e o caos dionisíaco. Sua própria vida tornou-se uma ilustração dramática desta tensão: períodos de produtividade filosófica intensa convivendo com sofrimento físico e mental, demonstrando como o fogo criativo pode ser tanto fonte de iluminação quanto de autodestruição.</w:t>
      </w:r>
    </w:p>
    <w:p w14:paraId="093E2C13" w14:textId="77777777" w:rsidR="0003312E" w:rsidRDefault="0003312E">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p>
    <w:p w14:paraId="312D9AA9"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b/>
          <w:bCs/>
          <w:color w:val="0F1115"/>
          <w:kern w:val="0"/>
          <w:sz w:val="24"/>
          <w:szCs w:val="24"/>
          <w:lang w:eastAsia="pt-BR"/>
          <w14:ligatures w14:val="none"/>
        </w:rPr>
        <w:t>Próximo: A Sombra da Mente</w:t>
      </w:r>
    </w:p>
    <w:p w14:paraId="3D93235B"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Se o frenesi é o fogo que consome e, ao mesmo tempo, ilumina, a melancolia surge como a sua sombra complementar – uma penumbra que se alonga e se aprofunda. Enquanto Nietzsche, em sua coragem filosófica, abraçou a tempestade mental como uma força criadora, seria Robert Burton, em sua obra monumental, quem mergulharia nas profundezas mais silenciosas do espírito humano para mapear a complexa anatomia da tristeza. Esse é um território distinto, onde a dor lentamente se transforma em reflexão profunda e o silêncio interior pode dar lugar a uma sabedoria singular. Assim, nossa jornada segue seu curso, partindo das chamas intensas e dionisíacas do frenesi para adentrar as profundezas contemplativas da melancolia.</w:t>
      </w:r>
    </w:p>
    <w:p w14:paraId="50C02B5B" w14:textId="77777777" w:rsidR="0003312E" w:rsidRDefault="0003312E">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p>
    <w:tbl>
      <w:tblPr>
        <w:tblStyle w:val="Tabelacomgrade"/>
        <w:tblW w:w="874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Look w:val="04A0" w:firstRow="1" w:lastRow="0" w:firstColumn="1" w:lastColumn="0" w:noHBand="0" w:noVBand="1"/>
      </w:tblPr>
      <w:tblGrid>
        <w:gridCol w:w="4477"/>
        <w:gridCol w:w="4270"/>
      </w:tblGrid>
      <w:tr w:rsidR="0003312E" w14:paraId="6E432F46" w14:textId="77777777">
        <w:trPr>
          <w:trHeight w:val="470"/>
        </w:trPr>
        <w:tc>
          <w:tcPr>
            <w:tcW w:w="8747" w:type="dxa"/>
            <w:gridSpan w:val="2"/>
            <w:tcBorders>
              <w:top w:val="nil"/>
              <w:left w:val="nil"/>
              <w:bottom w:val="nil"/>
              <w:right w:val="nil"/>
            </w:tcBorders>
          </w:tcPr>
          <w:p w14:paraId="2910380E" w14:textId="77777777" w:rsidR="0003312E" w:rsidRDefault="00000000">
            <w:pPr>
              <w:pBdr>
                <w:left w:val="single" w:sz="80" w:space="4" w:color="7F7F7F" w:themeColor="text1" w:themeTint="80"/>
                <w:bottom w:val="single" w:sz="8" w:space="4" w:color="7F7F7F" w:themeColor="text1" w:themeTint="80"/>
              </w:pBdr>
              <w:spacing w:after="0" w:line="240" w:lineRule="auto"/>
              <w:rPr>
                <w:rFonts w:ascii="Times New Roman" w:eastAsia="SimSun" w:hAnsi="Times New Roman" w:cs="Times New Roman"/>
                <w:b/>
                <w:bCs/>
                <w:sz w:val="24"/>
                <w:szCs w:val="24"/>
              </w:rPr>
            </w:pPr>
            <w:r>
              <w:rPr>
                <w:rFonts w:ascii="Times New Roman" w:hAnsi="Times New Roman" w:cs="Times New Roman"/>
                <w:b/>
                <w:bCs/>
                <w:sz w:val="24"/>
                <w:szCs w:val="24"/>
              </w:rPr>
              <w:lastRenderedPageBreak/>
              <w:t xml:space="preserve">Capítulo </w:t>
            </w:r>
            <w:proofErr w:type="gramStart"/>
            <w:r>
              <w:rPr>
                <w:rFonts w:ascii="Times New Roman" w:hAnsi="Times New Roman" w:cs="Times New Roman"/>
                <w:b/>
                <w:bCs/>
                <w:sz w:val="24"/>
                <w:szCs w:val="24"/>
              </w:rPr>
              <w:t>4  -</w:t>
            </w:r>
            <w:proofErr w:type="gramEnd"/>
            <w:r>
              <w:rPr>
                <w:rFonts w:ascii="Times New Roman" w:hAnsi="Times New Roman" w:cs="Times New Roman"/>
                <w:b/>
                <w:bCs/>
                <w:sz w:val="24"/>
                <w:szCs w:val="24"/>
              </w:rPr>
              <w:t xml:space="preserve">  Melancolia: A Cidade Subterrânea</w:t>
            </w:r>
          </w:p>
        </w:tc>
      </w:tr>
      <w:tr w:rsidR="0003312E" w14:paraId="2C611F48" w14:textId="77777777">
        <w:tc>
          <w:tcPr>
            <w:tcW w:w="4477" w:type="dxa"/>
            <w:tcBorders>
              <w:top w:val="nil"/>
              <w:left w:val="nil"/>
              <w:bottom w:val="nil"/>
              <w:right w:val="nil"/>
            </w:tcBorders>
          </w:tcPr>
          <w:p w14:paraId="2279877E" w14:textId="77777777" w:rsidR="0003312E" w:rsidRDefault="00000000">
            <w:pPr>
              <w:spacing w:after="0" w:line="240" w:lineRule="auto"/>
              <w:jc w:val="center"/>
              <w:rPr>
                <w:rStyle w:val="Forte"/>
                <w:rFonts w:ascii="Times New Roman" w:eastAsia="Garamond" w:hAnsi="Times New Roman" w:cs="Times New Roman"/>
                <w:b w:val="0"/>
                <w:bCs w:val="0"/>
                <w:sz w:val="24"/>
                <w:szCs w:val="24"/>
              </w:rPr>
            </w:pPr>
            <w:r>
              <w:rPr>
                <w:rFonts w:ascii="Times New Roman" w:hAnsi="Times New Roman" w:cs="Times New Roman"/>
                <w:noProof/>
                <w:sz w:val="24"/>
                <w:szCs w:val="24"/>
              </w:rPr>
              <w:drawing>
                <wp:inline distT="0" distB="0" distL="0" distR="0" wp14:anchorId="3AF51683" wp14:editId="676D7FCC">
                  <wp:extent cx="1563370" cy="1153160"/>
                  <wp:effectExtent l="0" t="0" r="6350" b="5080"/>
                  <wp:docPr id="917291088"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291088" name="Imagem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563370" cy="1153160"/>
                          </a:xfrm>
                          <a:prstGeom prst="rect">
                            <a:avLst/>
                          </a:prstGeom>
                          <a:noFill/>
                          <a:ln>
                            <a:noFill/>
                          </a:ln>
                        </pic:spPr>
                      </pic:pic>
                    </a:graphicData>
                  </a:graphic>
                </wp:inline>
              </w:drawing>
            </w:r>
          </w:p>
        </w:tc>
        <w:tc>
          <w:tcPr>
            <w:tcW w:w="4270" w:type="dxa"/>
            <w:tcBorders>
              <w:top w:val="nil"/>
              <w:left w:val="nil"/>
              <w:bottom w:val="nil"/>
              <w:right w:val="nil"/>
            </w:tcBorders>
          </w:tcPr>
          <w:p w14:paraId="2B4FB861" w14:textId="77777777" w:rsidR="0003312E" w:rsidRDefault="00000000">
            <w:pPr>
              <w:spacing w:after="0" w:line="240" w:lineRule="auto"/>
              <w:jc w:val="center"/>
              <w:rPr>
                <w:rStyle w:val="Forte"/>
                <w:rFonts w:ascii="Times New Roman" w:eastAsia="Garamond" w:hAnsi="Times New Roman" w:cs="Times New Roman"/>
                <w:b w:val="0"/>
                <w:bCs w:val="0"/>
                <w:sz w:val="24"/>
                <w:szCs w:val="24"/>
              </w:rPr>
            </w:pPr>
            <w:r>
              <w:rPr>
                <w:rFonts w:ascii="Times New Roman" w:eastAsia="SimSun" w:hAnsi="Times New Roman" w:cs="Times New Roman"/>
                <w:noProof/>
                <w:sz w:val="24"/>
                <w:szCs w:val="24"/>
              </w:rPr>
              <w:drawing>
                <wp:inline distT="0" distB="0" distL="114300" distR="114300" wp14:anchorId="6ECC97A3" wp14:editId="39E242F3">
                  <wp:extent cx="821055" cy="1231265"/>
                  <wp:effectExtent l="0" t="0" r="1905" b="3175"/>
                  <wp:docPr id="52" name="Imagem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m 21" descr="IMG_256"/>
                          <pic:cNvPicPr>
                            <a:picLocks noChangeAspect="1"/>
                          </pic:cNvPicPr>
                        </pic:nvPicPr>
                        <pic:blipFill>
                          <a:blip r:embed="rId20"/>
                          <a:stretch>
                            <a:fillRect/>
                          </a:stretch>
                        </pic:blipFill>
                        <pic:spPr>
                          <a:xfrm>
                            <a:off x="0" y="0"/>
                            <a:ext cx="821055" cy="1231265"/>
                          </a:xfrm>
                          <a:prstGeom prst="rect">
                            <a:avLst/>
                          </a:prstGeom>
                          <a:noFill/>
                          <a:ln w="9525">
                            <a:noFill/>
                          </a:ln>
                        </pic:spPr>
                      </pic:pic>
                    </a:graphicData>
                  </a:graphic>
                </wp:inline>
              </w:drawing>
            </w:r>
          </w:p>
        </w:tc>
      </w:tr>
      <w:tr w:rsidR="0003312E" w14:paraId="041EC7C5" w14:textId="77777777">
        <w:trPr>
          <w:trHeight w:val="476"/>
        </w:trPr>
        <w:tc>
          <w:tcPr>
            <w:tcW w:w="4477" w:type="dxa"/>
            <w:tcBorders>
              <w:top w:val="nil"/>
              <w:left w:val="nil"/>
              <w:bottom w:val="nil"/>
              <w:right w:val="nil"/>
            </w:tcBorders>
          </w:tcPr>
          <w:p w14:paraId="24F9CFEB" w14:textId="77777777" w:rsidR="0003312E" w:rsidRDefault="00000000">
            <w:pPr>
              <w:pStyle w:val="NormalWeb"/>
              <w:spacing w:beforeAutospacing="0" w:after="0" w:afterAutospacing="0" w:line="240" w:lineRule="auto"/>
              <w:rPr>
                <w:rStyle w:val="Forte"/>
                <w:rFonts w:eastAsia="Garamond"/>
                <w:b w:val="0"/>
                <w:bCs w:val="0"/>
                <w:sz w:val="24"/>
                <w:lang w:val="pt-BR"/>
              </w:rPr>
            </w:pPr>
            <w:r>
              <w:rPr>
                <w:rFonts w:eastAsiaTheme="majorEastAsia"/>
                <w:i/>
                <w:iCs/>
                <w:sz w:val="24"/>
                <w:lang w:val="pt-BR"/>
              </w:rPr>
              <w:t>Figura 4.1: O Labirinto das Sombras: A Geografia da Introspecção</w:t>
            </w:r>
          </w:p>
        </w:tc>
        <w:tc>
          <w:tcPr>
            <w:tcW w:w="4270" w:type="dxa"/>
            <w:tcBorders>
              <w:top w:val="nil"/>
              <w:left w:val="nil"/>
              <w:bottom w:val="nil"/>
              <w:right w:val="nil"/>
            </w:tcBorders>
          </w:tcPr>
          <w:p w14:paraId="1EAA3E25" w14:textId="77777777" w:rsidR="0003312E" w:rsidRDefault="00000000">
            <w:pPr>
              <w:spacing w:after="0" w:line="240" w:lineRule="auto"/>
              <w:rPr>
                <w:rStyle w:val="Forte"/>
                <w:rFonts w:ascii="Times New Roman" w:eastAsia="Garamond" w:hAnsi="Times New Roman" w:cs="Times New Roman"/>
                <w:b w:val="0"/>
                <w:bCs w:val="0"/>
                <w:sz w:val="24"/>
                <w:szCs w:val="24"/>
              </w:rPr>
            </w:pPr>
            <w:r>
              <w:rPr>
                <w:rFonts w:ascii="Times New Roman" w:eastAsiaTheme="majorEastAsia" w:hAnsi="Times New Roman" w:cs="Times New Roman"/>
                <w:i/>
                <w:iCs/>
                <w:sz w:val="24"/>
                <w:szCs w:val="24"/>
              </w:rPr>
              <w:t>Figura 4.2</w:t>
            </w:r>
            <w:r>
              <w:rPr>
                <w:rFonts w:ascii="Times New Roman" w:eastAsiaTheme="majorEastAsia" w:hAnsi="Times New Roman" w:cs="Times New Roman"/>
                <w:sz w:val="24"/>
                <w:szCs w:val="24"/>
              </w:rPr>
              <w:t xml:space="preserve">: </w:t>
            </w:r>
            <w:r>
              <w:rPr>
                <w:rFonts w:ascii="Times New Roman" w:eastAsia="Segoe UI" w:hAnsi="Times New Roman" w:cs="Times New Roman"/>
                <w:i/>
                <w:iCs/>
                <w:sz w:val="24"/>
                <w:szCs w:val="24"/>
                <w:shd w:val="clear" w:color="auto" w:fill="FFFFFF"/>
              </w:rPr>
              <w:t>Robert Burton (1577 - 1640)</w:t>
            </w:r>
            <w:r>
              <w:rPr>
                <w:rFonts w:ascii="Times New Roman" w:eastAsiaTheme="majorEastAsia" w:hAnsi="Times New Roman" w:cs="Times New Roman"/>
                <w:i/>
                <w:iCs/>
                <w:sz w:val="24"/>
                <w:szCs w:val="24"/>
              </w:rPr>
              <w:t>: O Cartógrafo das Profundezas da Alma</w:t>
            </w:r>
          </w:p>
        </w:tc>
      </w:tr>
    </w:tbl>
    <w:p w14:paraId="2BE27821" w14:textId="77777777" w:rsidR="0003312E" w:rsidRDefault="0003312E">
      <w:pPr>
        <w:pStyle w:val="NormalWeb"/>
        <w:spacing w:beforeAutospacing="0" w:after="0" w:afterAutospacing="0" w:line="360" w:lineRule="auto"/>
        <w:ind w:firstLine="709"/>
        <w:jc w:val="both"/>
        <w:rPr>
          <w:rFonts w:eastAsia="Segoe UI"/>
          <w:sz w:val="24"/>
          <w:shd w:val="clear" w:color="auto" w:fill="FFFFFF"/>
          <w:lang w:val="pt-BR"/>
        </w:rPr>
      </w:pPr>
    </w:p>
    <w:p w14:paraId="2A27603B"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b/>
          <w:bCs/>
          <w:sz w:val="24"/>
          <w:shd w:val="clear" w:color="auto" w:fill="FFFFFF"/>
          <w:lang w:val="pt-BR"/>
        </w:rPr>
        <w:t>Melancolia em Poucas Palavras: A Cor da Alma</w:t>
      </w:r>
    </w:p>
    <w:p w14:paraId="43A393E5"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A melancolia apresenta uma dualidade fundamental: enquanto experiência humana universal associada à introspecção e criatividade, também configura uma condição clínica de sofrimento. Este capítulo explora essa tensão ao longo da história. A melancolia nos convida a explorar um território profundo e complexo da experiência humana, e para compreendê-la, percorreremos quatro dimensões fundamentais que se entrelaçam. A primeira nos revela sua origem etimológica, que literalmente significa "bile negra" – uma substância que os antigos acreditavam intoxicar tanto o corpo quanto a mente. A segunda dimensão nos guia por sua extraordinária jornada histórica, que a viu transitar de um simples desequilíbrio físico para um pecado mortal, até finalmente ser reconhecida como uma marca distintiva da genialidade. A terceira nos mostra como a neurociência moderna identifica padrões neuroquímicos associados a essa antiga "bile negra" em termos de desregulações neuroquímicas específicas. E a quarta nos leva ao plano filosófico, onde a melancolia se revela não como uma mera patologia, mas como um espaço fértil de introspecção profunda e sabedoria potencial. São essas quatro perspectivas, integradas na seção final, que nos oferecem uma visão completa e multifacetada desse estado de espírito que tanto tem fascinado a humanidade ao longo dos séculos.</w:t>
      </w:r>
    </w:p>
    <w:p w14:paraId="756D9792" w14:textId="77777777" w:rsidR="0003312E" w:rsidRDefault="0003312E">
      <w:pPr>
        <w:pStyle w:val="NormalWeb"/>
        <w:spacing w:beforeAutospacing="0" w:after="0" w:afterAutospacing="0" w:line="360" w:lineRule="auto"/>
        <w:ind w:firstLine="709"/>
        <w:jc w:val="both"/>
        <w:rPr>
          <w:rFonts w:eastAsia="Segoe UI"/>
          <w:sz w:val="24"/>
          <w:shd w:val="clear" w:color="auto" w:fill="FFFFFF"/>
          <w:lang w:val="pt-BR"/>
        </w:rPr>
      </w:pPr>
    </w:p>
    <w:p w14:paraId="085CC503"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b/>
          <w:bCs/>
          <w:sz w:val="24"/>
          <w:shd w:val="clear" w:color="auto" w:fill="FFFFFF"/>
          <w:lang w:val="pt-BR"/>
        </w:rPr>
        <w:t>A Jornada da Palavra: Da Bile Negra a Burton</w:t>
      </w:r>
    </w:p>
    <w:p w14:paraId="69FEB910"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Iniciando com Hipócrates e a teoria dos humores, a história da melancolia é também a história de sua transformação cultural, de um desequilíbrio humoral a símbolo de genialidade e profundidade.</w:t>
      </w:r>
    </w:p>
    <w:p w14:paraId="6C0E84C2"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 xml:space="preserve">Na Grécia Antiga, Hipócrates via a melancolia como um problema físico: o excesso de bile negra envenenava corpo e mente. Posteriormente, o 'Problema XXX', texto do Corpus </w:t>
      </w:r>
      <w:proofErr w:type="spellStart"/>
      <w:r>
        <w:rPr>
          <w:rFonts w:eastAsia="Segoe UI"/>
          <w:sz w:val="24"/>
          <w:shd w:val="clear" w:color="auto" w:fill="FFFFFF"/>
          <w:lang w:val="pt-BR"/>
        </w:rPr>
        <w:t>Aristotelicum</w:t>
      </w:r>
      <w:proofErr w:type="spellEnd"/>
      <w:r>
        <w:rPr>
          <w:rFonts w:eastAsia="Segoe UI"/>
          <w:sz w:val="24"/>
          <w:shd w:val="clear" w:color="auto" w:fill="FFFFFF"/>
          <w:lang w:val="pt-BR"/>
        </w:rPr>
        <w:t xml:space="preserve"> tradicionalmente atribuído à escola de Aristóteles e considerado </w:t>
      </w:r>
      <w:proofErr w:type="spellStart"/>
      <w:r>
        <w:rPr>
          <w:rFonts w:eastAsia="Segoe UI"/>
          <w:sz w:val="24"/>
          <w:shd w:val="clear" w:color="auto" w:fill="FFFFFF"/>
          <w:lang w:val="pt-BR"/>
        </w:rPr>
        <w:t>pseudo-aristotélico</w:t>
      </w:r>
      <w:proofErr w:type="spellEnd"/>
      <w:r>
        <w:rPr>
          <w:rFonts w:eastAsia="Segoe UI"/>
          <w:sz w:val="24"/>
          <w:shd w:val="clear" w:color="auto" w:fill="FFFFFF"/>
          <w:lang w:val="pt-BR"/>
        </w:rPr>
        <w:t xml:space="preserve">, observou que muitos grandes filósofos, poetas e estadistas eram melancólicos, </w:t>
      </w:r>
      <w:r>
        <w:rPr>
          <w:rFonts w:eastAsia="Segoe UI"/>
          <w:sz w:val="24"/>
          <w:shd w:val="clear" w:color="auto" w:fill="FFFFFF"/>
          <w:lang w:val="pt-BR"/>
        </w:rPr>
        <w:lastRenderedPageBreak/>
        <w:t>criando uma associação duradoura entre sofrimento e genialidade. Assim, a melancolia deixava de ser mera doença e passava a ser considerada o preço da grandeza.</w:t>
      </w:r>
    </w:p>
    <w:p w14:paraId="0408008A"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 xml:space="preserve">Durante a Idade Média, a melancolia foi convertida em pecado. Embora reinterpretada teologicamente como acédia, tradições médicas mantiveram explicações naturais para a melancolia, demonstrando a coexistência de perspectivas. Transformada no pecado capital da acedia (do grego </w:t>
      </w:r>
      <w:proofErr w:type="spellStart"/>
      <w:r>
        <w:rPr>
          <w:rFonts w:eastAsia="Segoe UI"/>
          <w:sz w:val="24"/>
          <w:shd w:val="clear" w:color="auto" w:fill="FFFFFF"/>
          <w:lang w:val="pt-BR"/>
        </w:rPr>
        <w:t>akēdía</w:t>
      </w:r>
      <w:proofErr w:type="spellEnd"/>
      <w:r>
        <w:rPr>
          <w:rFonts w:eastAsia="Segoe UI"/>
          <w:sz w:val="24"/>
          <w:shd w:val="clear" w:color="auto" w:fill="FFFFFF"/>
          <w:lang w:val="pt-BR"/>
        </w:rPr>
        <w:t>, 'ausência de cuidado'), a melancolia tornou-se uma falha espiritual específica: um torpor da alma que levava à negligência dos deveres religiosos e à incapacidade de encontrar alegria na devoção, particularmente temida na vida monástica. Já não era um fluido corporal, mas uma falha moral, um vício a ser combatido com oração e disciplina.</w:t>
      </w:r>
    </w:p>
    <w:p w14:paraId="42095D90"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 xml:space="preserve">No Renascimento, essa visão foi radicalmente ressignificada. Marsílio </w:t>
      </w:r>
      <w:proofErr w:type="spellStart"/>
      <w:r>
        <w:rPr>
          <w:rFonts w:eastAsia="Segoe UI"/>
          <w:sz w:val="24"/>
          <w:shd w:val="clear" w:color="auto" w:fill="FFFFFF"/>
          <w:lang w:val="pt-BR"/>
        </w:rPr>
        <w:t>Ficino</w:t>
      </w:r>
      <w:proofErr w:type="spellEnd"/>
      <w:r>
        <w:rPr>
          <w:rFonts w:eastAsia="Segoe UI"/>
          <w:sz w:val="24"/>
          <w:shd w:val="clear" w:color="auto" w:fill="FFFFFF"/>
          <w:lang w:val="pt-BR"/>
        </w:rPr>
        <w:t xml:space="preserve"> </w:t>
      </w:r>
      <w:proofErr w:type="spellStart"/>
      <w:r>
        <w:rPr>
          <w:rFonts w:eastAsia="Segoe UI"/>
          <w:sz w:val="24"/>
          <w:shd w:val="clear" w:color="auto" w:fill="FFFFFF"/>
          <w:lang w:val="pt-BR"/>
        </w:rPr>
        <w:t>reassociou</w:t>
      </w:r>
      <w:proofErr w:type="spellEnd"/>
      <w:r>
        <w:rPr>
          <w:rFonts w:eastAsia="Segoe UI"/>
          <w:sz w:val="24"/>
          <w:shd w:val="clear" w:color="auto" w:fill="FFFFFF"/>
          <w:lang w:val="pt-BR"/>
        </w:rPr>
        <w:t xml:space="preserve"> a melancolia ao planeta Saturno - lento, frio, distante e sábio - e argumentou que ela era a marca de intelectuais e artistas. Essa concepção encontra expressão icônica na gravura </w:t>
      </w:r>
      <w:proofErr w:type="spellStart"/>
      <w:r>
        <w:rPr>
          <w:rFonts w:eastAsia="Segoe UI"/>
          <w:sz w:val="24"/>
          <w:shd w:val="clear" w:color="auto" w:fill="FFFFFF"/>
          <w:lang w:val="pt-BR"/>
        </w:rPr>
        <w:t>Melencolia</w:t>
      </w:r>
      <w:proofErr w:type="spellEnd"/>
      <w:r>
        <w:rPr>
          <w:rFonts w:eastAsia="Segoe UI"/>
          <w:sz w:val="24"/>
          <w:shd w:val="clear" w:color="auto" w:fill="FFFFFF"/>
          <w:lang w:val="pt-BR"/>
        </w:rPr>
        <w:t xml:space="preserve"> I (1514), de Albrecht Dürer, que retrata um anjo alado cercado por instrumentos científicos e artísticos, imerso em paralisia criativa. A melancolia passa a simbolizar não a doença, mas a profundidade do gênio.</w:t>
      </w:r>
    </w:p>
    <w:p w14:paraId="7C573653"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 xml:space="preserve">Em 1621, Robert Burton publicou The </w:t>
      </w:r>
      <w:proofErr w:type="spellStart"/>
      <w:r>
        <w:rPr>
          <w:rFonts w:eastAsia="Segoe UI"/>
          <w:sz w:val="24"/>
          <w:shd w:val="clear" w:color="auto" w:fill="FFFFFF"/>
          <w:lang w:val="pt-BR"/>
        </w:rPr>
        <w:t>Anatomy</w:t>
      </w:r>
      <w:proofErr w:type="spellEnd"/>
      <w:r>
        <w:rPr>
          <w:rFonts w:eastAsia="Segoe UI"/>
          <w:sz w:val="24"/>
          <w:shd w:val="clear" w:color="auto" w:fill="FFFFFF"/>
          <w:lang w:val="pt-BR"/>
        </w:rPr>
        <w:t xml:space="preserve"> </w:t>
      </w:r>
      <w:proofErr w:type="spellStart"/>
      <w:r>
        <w:rPr>
          <w:rFonts w:eastAsia="Segoe UI"/>
          <w:sz w:val="24"/>
          <w:shd w:val="clear" w:color="auto" w:fill="FFFFFF"/>
          <w:lang w:val="pt-BR"/>
        </w:rPr>
        <w:t>of</w:t>
      </w:r>
      <w:proofErr w:type="spellEnd"/>
      <w:r>
        <w:rPr>
          <w:rFonts w:eastAsia="Segoe UI"/>
          <w:sz w:val="24"/>
          <w:shd w:val="clear" w:color="auto" w:fill="FFFFFF"/>
          <w:lang w:val="pt-BR"/>
        </w:rPr>
        <w:t xml:space="preserve"> </w:t>
      </w:r>
      <w:proofErr w:type="spellStart"/>
      <w:r>
        <w:rPr>
          <w:rFonts w:eastAsia="Segoe UI"/>
          <w:sz w:val="24"/>
          <w:shd w:val="clear" w:color="auto" w:fill="FFFFFF"/>
          <w:lang w:val="pt-BR"/>
        </w:rPr>
        <w:t>Melancholy</w:t>
      </w:r>
      <w:proofErr w:type="spellEnd"/>
      <w:r>
        <w:rPr>
          <w:rFonts w:eastAsia="Segoe UI"/>
          <w:sz w:val="24"/>
          <w:shd w:val="clear" w:color="auto" w:fill="FFFFFF"/>
          <w:lang w:val="pt-BR"/>
        </w:rPr>
        <w:t xml:space="preserve">, obra monumental que compilou todo o conhecimento sobre a melancolia, desde a antiguidade até sua época. Burton não </w:t>
      </w:r>
      <w:proofErr w:type="spellStart"/>
      <w:r>
        <w:rPr>
          <w:rFonts w:eastAsia="Segoe UI"/>
          <w:sz w:val="24"/>
          <w:shd w:val="clear" w:color="auto" w:fill="FFFFFF"/>
          <w:lang w:val="pt-BR"/>
        </w:rPr>
        <w:t>oferevia</w:t>
      </w:r>
      <w:proofErr w:type="spellEnd"/>
      <w:r>
        <w:rPr>
          <w:rFonts w:eastAsia="Segoe UI"/>
          <w:sz w:val="24"/>
          <w:shd w:val="clear" w:color="auto" w:fill="FFFFFF"/>
          <w:lang w:val="pt-BR"/>
        </w:rPr>
        <w:t xml:space="preserve"> uma cura simples, mas um mapa detalhado da condição, tratando-a como fenômeno que abrange corpo, mente e espírito. Sua obra é uma verdadeira cidade subterrânea textual, onde o leitor se perde e se encontra, percebendo que, mesmo nas profundezas, não está sozinho.</w:t>
      </w:r>
    </w:p>
    <w:p w14:paraId="38CC0643"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No século XX, Sigmund Freud psicanalisou a melancolia em Luto e Melancolia (1917), mostrando que o ego se identifica com o objeto perdido e direciona contra si mesmo a raiva e a culpa. A psiquiatria moderna codificou a melancolia como um subtipo de depressão maior, com características biológicas distintas, sujeita a debates contemporâneos sobre medicalização da experiência humana, mas a aura de mistério e profundidade, conferida por Burton e Dürer, permanece.</w:t>
      </w:r>
    </w:p>
    <w:p w14:paraId="061918C7" w14:textId="77777777" w:rsidR="0003312E" w:rsidRDefault="0003312E">
      <w:pPr>
        <w:pStyle w:val="NormalWeb"/>
        <w:spacing w:beforeAutospacing="0" w:after="0" w:afterAutospacing="0" w:line="360" w:lineRule="auto"/>
        <w:ind w:firstLine="709"/>
        <w:jc w:val="both"/>
        <w:rPr>
          <w:rFonts w:eastAsia="Segoe UI"/>
          <w:sz w:val="24"/>
          <w:shd w:val="clear" w:color="auto" w:fill="FFFFFF"/>
          <w:lang w:val="pt-BR"/>
        </w:rPr>
      </w:pPr>
    </w:p>
    <w:p w14:paraId="0BD83501" w14:textId="77777777" w:rsidR="0003312E" w:rsidRDefault="0003312E">
      <w:pPr>
        <w:pStyle w:val="NormalWeb"/>
        <w:spacing w:beforeAutospacing="0" w:after="0" w:afterAutospacing="0" w:line="360" w:lineRule="auto"/>
        <w:ind w:firstLine="709"/>
        <w:jc w:val="both"/>
        <w:rPr>
          <w:rFonts w:eastAsia="Segoe UI"/>
          <w:sz w:val="24"/>
          <w:shd w:val="clear" w:color="auto" w:fill="FFFFFF"/>
          <w:lang w:val="pt-BR"/>
        </w:rPr>
      </w:pPr>
    </w:p>
    <w:p w14:paraId="00762F60" w14:textId="77777777" w:rsidR="0003312E" w:rsidRDefault="0003312E">
      <w:pPr>
        <w:pStyle w:val="NormalWeb"/>
        <w:spacing w:beforeAutospacing="0" w:after="0" w:afterAutospacing="0" w:line="360" w:lineRule="auto"/>
        <w:ind w:firstLine="709"/>
        <w:jc w:val="both"/>
        <w:rPr>
          <w:rFonts w:eastAsia="Segoe UI"/>
          <w:sz w:val="24"/>
          <w:shd w:val="clear" w:color="auto" w:fill="FFFFFF"/>
          <w:lang w:val="pt-BR"/>
        </w:rPr>
      </w:pPr>
    </w:p>
    <w:p w14:paraId="51041857" w14:textId="77777777" w:rsidR="0003312E" w:rsidRDefault="0003312E">
      <w:pPr>
        <w:pStyle w:val="NormalWeb"/>
        <w:spacing w:beforeAutospacing="0" w:after="0" w:afterAutospacing="0" w:line="360" w:lineRule="auto"/>
        <w:ind w:firstLine="709"/>
        <w:jc w:val="both"/>
        <w:rPr>
          <w:rFonts w:eastAsia="Segoe UI"/>
          <w:sz w:val="24"/>
          <w:shd w:val="clear" w:color="auto" w:fill="FFFFFF"/>
          <w:lang w:val="pt-BR"/>
        </w:rPr>
      </w:pPr>
    </w:p>
    <w:p w14:paraId="2526B0BA" w14:textId="77777777" w:rsidR="0003312E" w:rsidRDefault="0003312E">
      <w:pPr>
        <w:pStyle w:val="NormalWeb"/>
        <w:spacing w:beforeAutospacing="0" w:after="0" w:afterAutospacing="0" w:line="360" w:lineRule="auto"/>
        <w:ind w:firstLine="709"/>
        <w:jc w:val="both"/>
        <w:rPr>
          <w:rFonts w:eastAsia="Segoe UI"/>
          <w:sz w:val="24"/>
          <w:shd w:val="clear" w:color="auto" w:fill="FFFFFF"/>
          <w:lang w:val="pt-BR"/>
        </w:rPr>
      </w:pPr>
    </w:p>
    <w:p w14:paraId="58569CD2" w14:textId="77777777" w:rsidR="0003312E" w:rsidRDefault="0003312E">
      <w:pPr>
        <w:pStyle w:val="NormalWeb"/>
        <w:spacing w:beforeAutospacing="0" w:after="0" w:afterAutospacing="0" w:line="360" w:lineRule="auto"/>
        <w:ind w:firstLine="709"/>
        <w:jc w:val="both"/>
        <w:rPr>
          <w:rFonts w:eastAsia="Segoe UI"/>
          <w:sz w:val="24"/>
          <w:shd w:val="clear" w:color="auto" w:fill="FFFFFF"/>
          <w:lang w:val="pt-BR"/>
        </w:rPr>
      </w:pPr>
    </w:p>
    <w:p w14:paraId="0DCB088C" w14:textId="77777777" w:rsidR="0003312E" w:rsidRDefault="0003312E">
      <w:pPr>
        <w:pStyle w:val="NormalWeb"/>
        <w:spacing w:beforeAutospacing="0" w:after="0" w:afterAutospacing="0" w:line="360" w:lineRule="auto"/>
        <w:ind w:firstLine="709"/>
        <w:jc w:val="both"/>
        <w:rPr>
          <w:rFonts w:eastAsia="Segoe UI"/>
          <w:sz w:val="24"/>
          <w:shd w:val="clear" w:color="auto" w:fill="FFFFFF"/>
          <w:lang w:val="pt-BR"/>
        </w:rPr>
      </w:pPr>
    </w:p>
    <w:p w14:paraId="411397AF"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b/>
          <w:bCs/>
          <w:sz w:val="24"/>
          <w:shd w:val="clear" w:color="auto" w:fill="FFFFFF"/>
          <w:lang w:val="pt-BR"/>
        </w:rPr>
        <w:lastRenderedPageBreak/>
        <w:t>Quadro 4.1 - A Evolução da Melancolia: Da Doença à Genialidade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07"/>
        <w:gridCol w:w="1859"/>
        <w:gridCol w:w="5495"/>
      </w:tblGrid>
      <w:tr w:rsidR="0003312E" w14:paraId="1FDDC9B4" w14:textId="77777777">
        <w:trPr>
          <w:tblHeader/>
        </w:trPr>
        <w:tc>
          <w:tcPr>
            <w:tcW w:w="0" w:type="auto"/>
            <w:tcMar>
              <w:top w:w="150" w:type="dxa"/>
              <w:left w:w="0" w:type="dxa"/>
              <w:bottom w:w="150" w:type="dxa"/>
              <w:right w:w="240" w:type="dxa"/>
            </w:tcMar>
            <w:vAlign w:val="center"/>
          </w:tcPr>
          <w:p w14:paraId="27AEF097" w14:textId="77777777" w:rsidR="0003312E" w:rsidRDefault="00000000">
            <w:pPr>
              <w:pStyle w:val="NormalWeb"/>
              <w:spacing w:beforeAutospacing="0" w:after="0" w:afterAutospacing="0" w:line="240" w:lineRule="auto"/>
              <w:jc w:val="both"/>
              <w:rPr>
                <w:rFonts w:eastAsia="Segoe UI"/>
                <w:b/>
                <w:bCs/>
                <w:sz w:val="20"/>
                <w:szCs w:val="20"/>
                <w:shd w:val="clear" w:color="auto" w:fill="FFFFFF"/>
              </w:rPr>
            </w:pPr>
            <w:proofErr w:type="spellStart"/>
            <w:r>
              <w:rPr>
                <w:rFonts w:eastAsia="Segoe UI"/>
                <w:b/>
                <w:bCs/>
                <w:sz w:val="20"/>
                <w:szCs w:val="20"/>
                <w:shd w:val="clear" w:color="auto" w:fill="FFFFFF"/>
              </w:rPr>
              <w:t>Época</w:t>
            </w:r>
            <w:proofErr w:type="spellEnd"/>
          </w:p>
        </w:tc>
        <w:tc>
          <w:tcPr>
            <w:tcW w:w="0" w:type="auto"/>
            <w:tcMar>
              <w:top w:w="150" w:type="dxa"/>
              <w:left w:w="240" w:type="dxa"/>
              <w:bottom w:w="150" w:type="dxa"/>
              <w:right w:w="240" w:type="dxa"/>
            </w:tcMar>
            <w:vAlign w:val="center"/>
          </w:tcPr>
          <w:p w14:paraId="7D50866D" w14:textId="77777777" w:rsidR="0003312E" w:rsidRDefault="00000000">
            <w:pPr>
              <w:pStyle w:val="NormalWeb"/>
              <w:spacing w:beforeAutospacing="0" w:after="0" w:afterAutospacing="0" w:line="240" w:lineRule="auto"/>
              <w:jc w:val="both"/>
              <w:rPr>
                <w:rFonts w:eastAsia="Segoe UI"/>
                <w:b/>
                <w:bCs/>
                <w:sz w:val="20"/>
                <w:szCs w:val="20"/>
                <w:shd w:val="clear" w:color="auto" w:fill="FFFFFF"/>
              </w:rPr>
            </w:pPr>
            <w:r>
              <w:rPr>
                <w:rFonts w:eastAsia="Segoe UI"/>
                <w:b/>
                <w:bCs/>
                <w:sz w:val="20"/>
                <w:szCs w:val="20"/>
                <w:shd w:val="clear" w:color="auto" w:fill="FFFFFF"/>
              </w:rPr>
              <w:t>Marco</w:t>
            </w:r>
          </w:p>
        </w:tc>
        <w:tc>
          <w:tcPr>
            <w:tcW w:w="0" w:type="auto"/>
            <w:tcMar>
              <w:top w:w="150" w:type="dxa"/>
              <w:left w:w="240" w:type="dxa"/>
              <w:bottom w:w="150" w:type="dxa"/>
              <w:right w:w="240" w:type="dxa"/>
            </w:tcMar>
            <w:vAlign w:val="center"/>
          </w:tcPr>
          <w:p w14:paraId="1541FEEF" w14:textId="77777777" w:rsidR="0003312E" w:rsidRDefault="00000000">
            <w:pPr>
              <w:pStyle w:val="NormalWeb"/>
              <w:spacing w:beforeAutospacing="0" w:after="0" w:afterAutospacing="0" w:line="240" w:lineRule="auto"/>
              <w:jc w:val="both"/>
              <w:rPr>
                <w:rFonts w:eastAsia="Segoe UI"/>
                <w:b/>
                <w:bCs/>
                <w:sz w:val="20"/>
                <w:szCs w:val="20"/>
                <w:shd w:val="clear" w:color="auto" w:fill="FFFFFF"/>
              </w:rPr>
            </w:pPr>
            <w:proofErr w:type="spellStart"/>
            <w:r>
              <w:rPr>
                <w:rFonts w:eastAsia="Segoe UI"/>
                <w:b/>
                <w:bCs/>
                <w:sz w:val="20"/>
                <w:szCs w:val="20"/>
                <w:shd w:val="clear" w:color="auto" w:fill="FFFFFF"/>
              </w:rPr>
              <w:t>Significado</w:t>
            </w:r>
            <w:proofErr w:type="spellEnd"/>
            <w:r>
              <w:rPr>
                <w:rFonts w:eastAsia="Segoe UI"/>
                <w:b/>
                <w:bCs/>
                <w:sz w:val="20"/>
                <w:szCs w:val="20"/>
                <w:shd w:val="clear" w:color="auto" w:fill="FFFFFF"/>
              </w:rPr>
              <w:t xml:space="preserve"> e Impacto</w:t>
            </w:r>
          </w:p>
        </w:tc>
      </w:tr>
      <w:tr w:rsidR="0003312E" w14:paraId="53E4B79C" w14:textId="77777777">
        <w:tc>
          <w:tcPr>
            <w:tcW w:w="0" w:type="auto"/>
            <w:tcMar>
              <w:top w:w="150" w:type="dxa"/>
              <w:left w:w="0" w:type="dxa"/>
              <w:bottom w:w="150" w:type="dxa"/>
              <w:right w:w="240" w:type="dxa"/>
            </w:tcMar>
            <w:vAlign w:val="center"/>
          </w:tcPr>
          <w:p w14:paraId="1A8FBEAF" w14:textId="77777777" w:rsidR="0003312E" w:rsidRDefault="00000000">
            <w:pPr>
              <w:pStyle w:val="NormalWeb"/>
              <w:spacing w:beforeAutospacing="0" w:after="0" w:afterAutospacing="0" w:line="240" w:lineRule="auto"/>
              <w:jc w:val="both"/>
              <w:rPr>
                <w:rFonts w:eastAsia="Segoe UI"/>
                <w:b/>
                <w:bCs/>
                <w:sz w:val="20"/>
                <w:szCs w:val="20"/>
                <w:shd w:val="clear" w:color="auto" w:fill="FFFFFF"/>
              </w:rPr>
            </w:pPr>
            <w:proofErr w:type="spellStart"/>
            <w:r>
              <w:rPr>
                <w:rFonts w:eastAsia="Segoe UI"/>
                <w:b/>
                <w:bCs/>
                <w:sz w:val="20"/>
                <w:szCs w:val="20"/>
                <w:shd w:val="clear" w:color="auto" w:fill="FFFFFF"/>
              </w:rPr>
              <w:t>Grécia</w:t>
            </w:r>
            <w:proofErr w:type="spellEnd"/>
            <w:r>
              <w:rPr>
                <w:rFonts w:eastAsia="Segoe UI"/>
                <w:b/>
                <w:bCs/>
                <w:sz w:val="20"/>
                <w:szCs w:val="20"/>
                <w:shd w:val="clear" w:color="auto" w:fill="FFFFFF"/>
              </w:rPr>
              <w:t xml:space="preserve"> </w:t>
            </w:r>
            <w:proofErr w:type="spellStart"/>
            <w:r>
              <w:rPr>
                <w:rFonts w:eastAsia="Segoe UI"/>
                <w:b/>
                <w:bCs/>
                <w:sz w:val="20"/>
                <w:szCs w:val="20"/>
                <w:shd w:val="clear" w:color="auto" w:fill="FFFFFF"/>
              </w:rPr>
              <w:t>Antiga</w:t>
            </w:r>
            <w:proofErr w:type="spellEnd"/>
            <w:r>
              <w:rPr>
                <w:rFonts w:eastAsia="Segoe UI"/>
                <w:b/>
                <w:bCs/>
                <w:sz w:val="20"/>
                <w:szCs w:val="20"/>
                <w:shd w:val="clear" w:color="auto" w:fill="FFFFFF"/>
              </w:rPr>
              <w:t xml:space="preserve"> (Hipócrates)</w:t>
            </w:r>
          </w:p>
        </w:tc>
        <w:tc>
          <w:tcPr>
            <w:tcW w:w="0" w:type="auto"/>
            <w:tcMar>
              <w:top w:w="150" w:type="dxa"/>
              <w:left w:w="240" w:type="dxa"/>
              <w:bottom w:w="150" w:type="dxa"/>
              <w:right w:w="240" w:type="dxa"/>
            </w:tcMar>
            <w:vAlign w:val="center"/>
          </w:tcPr>
          <w:p w14:paraId="1792ED35" w14:textId="77777777" w:rsidR="0003312E" w:rsidRDefault="00000000">
            <w:pPr>
              <w:pStyle w:val="NormalWeb"/>
              <w:spacing w:beforeAutospacing="0" w:after="0" w:afterAutospacing="0" w:line="240" w:lineRule="auto"/>
              <w:jc w:val="both"/>
              <w:rPr>
                <w:rFonts w:eastAsia="Segoe UI"/>
                <w:sz w:val="20"/>
                <w:szCs w:val="20"/>
                <w:shd w:val="clear" w:color="auto" w:fill="FFFFFF"/>
              </w:rPr>
            </w:pPr>
            <w:proofErr w:type="spellStart"/>
            <w:r>
              <w:rPr>
                <w:rFonts w:eastAsia="Segoe UI"/>
                <w:sz w:val="20"/>
                <w:szCs w:val="20"/>
                <w:shd w:val="clear" w:color="auto" w:fill="FFFFFF"/>
              </w:rPr>
              <w:t>melankholía</w:t>
            </w:r>
            <w:proofErr w:type="spellEnd"/>
            <w:r>
              <w:rPr>
                <w:rFonts w:eastAsia="Segoe UI"/>
                <w:sz w:val="20"/>
                <w:szCs w:val="20"/>
                <w:shd w:val="clear" w:color="auto" w:fill="FFFFFF"/>
              </w:rPr>
              <w:t xml:space="preserve"> = "bile </w:t>
            </w:r>
            <w:proofErr w:type="spellStart"/>
            <w:r>
              <w:rPr>
                <w:rFonts w:eastAsia="Segoe UI"/>
                <w:sz w:val="20"/>
                <w:szCs w:val="20"/>
                <w:shd w:val="clear" w:color="auto" w:fill="FFFFFF"/>
              </w:rPr>
              <w:t>negra</w:t>
            </w:r>
            <w:proofErr w:type="spellEnd"/>
            <w:r>
              <w:rPr>
                <w:rFonts w:eastAsia="Segoe UI"/>
                <w:sz w:val="20"/>
                <w:szCs w:val="20"/>
                <w:shd w:val="clear" w:color="auto" w:fill="FFFFFF"/>
              </w:rPr>
              <w:t>"</w:t>
            </w:r>
          </w:p>
        </w:tc>
        <w:tc>
          <w:tcPr>
            <w:tcW w:w="0" w:type="auto"/>
            <w:tcMar>
              <w:top w:w="150" w:type="dxa"/>
              <w:left w:w="240" w:type="dxa"/>
              <w:bottom w:w="150" w:type="dxa"/>
              <w:right w:w="0" w:type="dxa"/>
            </w:tcMar>
            <w:vAlign w:val="center"/>
          </w:tcPr>
          <w:p w14:paraId="7AA2D57B" w14:textId="77777777" w:rsidR="0003312E" w:rsidRDefault="00000000">
            <w:pPr>
              <w:pStyle w:val="NormalWeb"/>
              <w:spacing w:beforeAutospacing="0" w:after="0" w:afterAutospacing="0" w:line="240" w:lineRule="auto"/>
              <w:jc w:val="both"/>
              <w:rPr>
                <w:rFonts w:eastAsia="Segoe UI"/>
                <w:sz w:val="20"/>
                <w:szCs w:val="20"/>
                <w:shd w:val="clear" w:color="auto" w:fill="FFFFFF"/>
                <w:lang w:val="pt-BR"/>
              </w:rPr>
            </w:pPr>
            <w:r>
              <w:rPr>
                <w:rFonts w:eastAsia="Segoe UI"/>
                <w:sz w:val="20"/>
                <w:szCs w:val="20"/>
                <w:shd w:val="clear" w:color="auto" w:fill="FFFFFF"/>
                <w:lang w:val="pt-BR"/>
              </w:rPr>
              <w:t>Um dos quatro humores corporais. O excesso de bile negra produz tristeza, medo e aversão social. Primeira definição da melancolia como doença física com sintomas psíquicos.</w:t>
            </w:r>
          </w:p>
        </w:tc>
      </w:tr>
      <w:tr w:rsidR="0003312E" w14:paraId="036218AD" w14:textId="77777777">
        <w:tc>
          <w:tcPr>
            <w:tcW w:w="0" w:type="auto"/>
            <w:tcMar>
              <w:top w:w="150" w:type="dxa"/>
              <w:left w:w="0" w:type="dxa"/>
              <w:bottom w:w="150" w:type="dxa"/>
              <w:right w:w="240" w:type="dxa"/>
            </w:tcMar>
            <w:vAlign w:val="center"/>
          </w:tcPr>
          <w:p w14:paraId="0864B31E" w14:textId="77777777" w:rsidR="0003312E" w:rsidRDefault="00000000">
            <w:pPr>
              <w:pStyle w:val="NormalWeb"/>
              <w:spacing w:beforeAutospacing="0" w:after="0" w:afterAutospacing="0" w:line="240" w:lineRule="auto"/>
              <w:jc w:val="both"/>
              <w:rPr>
                <w:rFonts w:eastAsia="Segoe UI"/>
                <w:b/>
                <w:bCs/>
                <w:sz w:val="20"/>
                <w:szCs w:val="20"/>
                <w:shd w:val="clear" w:color="auto" w:fill="FFFFFF"/>
              </w:rPr>
            </w:pPr>
            <w:proofErr w:type="spellStart"/>
            <w:r>
              <w:rPr>
                <w:rFonts w:eastAsia="Segoe UI"/>
                <w:b/>
                <w:bCs/>
                <w:sz w:val="20"/>
                <w:szCs w:val="20"/>
                <w:shd w:val="clear" w:color="auto" w:fill="FFFFFF"/>
              </w:rPr>
              <w:t>Grécia</w:t>
            </w:r>
            <w:proofErr w:type="spellEnd"/>
            <w:r>
              <w:rPr>
                <w:rFonts w:eastAsia="Segoe UI"/>
                <w:b/>
                <w:bCs/>
                <w:sz w:val="20"/>
                <w:szCs w:val="20"/>
                <w:shd w:val="clear" w:color="auto" w:fill="FFFFFF"/>
              </w:rPr>
              <w:t xml:space="preserve"> </w:t>
            </w:r>
            <w:proofErr w:type="spellStart"/>
            <w:r>
              <w:rPr>
                <w:rFonts w:eastAsia="Segoe UI"/>
                <w:b/>
                <w:bCs/>
                <w:sz w:val="20"/>
                <w:szCs w:val="20"/>
                <w:shd w:val="clear" w:color="auto" w:fill="FFFFFF"/>
              </w:rPr>
              <w:t>Antiga</w:t>
            </w:r>
            <w:proofErr w:type="spellEnd"/>
            <w:r>
              <w:rPr>
                <w:rFonts w:eastAsia="Segoe UI"/>
                <w:b/>
                <w:bCs/>
                <w:sz w:val="20"/>
                <w:szCs w:val="20"/>
                <w:shd w:val="clear" w:color="auto" w:fill="FFFFFF"/>
              </w:rPr>
              <w:t xml:space="preserve"> (Aristóteles)</w:t>
            </w:r>
          </w:p>
        </w:tc>
        <w:tc>
          <w:tcPr>
            <w:tcW w:w="0" w:type="auto"/>
            <w:tcMar>
              <w:top w:w="150" w:type="dxa"/>
              <w:left w:w="240" w:type="dxa"/>
              <w:bottom w:w="150" w:type="dxa"/>
              <w:right w:w="240" w:type="dxa"/>
            </w:tcMar>
            <w:vAlign w:val="center"/>
          </w:tcPr>
          <w:p w14:paraId="1A383867" w14:textId="77777777" w:rsidR="0003312E" w:rsidRDefault="00000000">
            <w:pPr>
              <w:pStyle w:val="NormalWeb"/>
              <w:spacing w:beforeAutospacing="0" w:after="0" w:afterAutospacing="0" w:line="240" w:lineRule="auto"/>
              <w:jc w:val="both"/>
              <w:rPr>
                <w:rFonts w:eastAsia="Segoe UI"/>
                <w:sz w:val="20"/>
                <w:szCs w:val="20"/>
                <w:shd w:val="clear" w:color="auto" w:fill="FFFFFF"/>
              </w:rPr>
            </w:pPr>
            <w:proofErr w:type="spellStart"/>
            <w:r>
              <w:rPr>
                <w:rFonts w:eastAsia="Segoe UI"/>
                <w:sz w:val="20"/>
                <w:szCs w:val="20"/>
                <w:shd w:val="clear" w:color="auto" w:fill="FFFFFF"/>
              </w:rPr>
              <w:t>Problema</w:t>
            </w:r>
            <w:proofErr w:type="spellEnd"/>
            <w:r>
              <w:rPr>
                <w:rFonts w:eastAsia="Segoe UI"/>
                <w:sz w:val="20"/>
                <w:szCs w:val="20"/>
                <w:shd w:val="clear" w:color="auto" w:fill="FFFFFF"/>
              </w:rPr>
              <w:t xml:space="preserve"> XXX</w:t>
            </w:r>
          </w:p>
        </w:tc>
        <w:tc>
          <w:tcPr>
            <w:tcW w:w="0" w:type="auto"/>
            <w:tcMar>
              <w:top w:w="150" w:type="dxa"/>
              <w:left w:w="240" w:type="dxa"/>
              <w:bottom w:w="150" w:type="dxa"/>
              <w:right w:w="0" w:type="dxa"/>
            </w:tcMar>
            <w:vAlign w:val="center"/>
          </w:tcPr>
          <w:p w14:paraId="79D88B3A" w14:textId="77777777" w:rsidR="0003312E" w:rsidRDefault="00000000">
            <w:pPr>
              <w:pStyle w:val="NormalWeb"/>
              <w:spacing w:beforeAutospacing="0" w:after="0" w:afterAutospacing="0" w:line="240" w:lineRule="auto"/>
              <w:jc w:val="both"/>
              <w:rPr>
                <w:rFonts w:eastAsia="Segoe UI"/>
                <w:sz w:val="20"/>
                <w:szCs w:val="20"/>
                <w:shd w:val="clear" w:color="auto" w:fill="FFFFFF"/>
                <w:lang w:val="pt-BR"/>
              </w:rPr>
            </w:pPr>
            <w:r>
              <w:rPr>
                <w:rFonts w:eastAsia="Segoe UI"/>
                <w:sz w:val="20"/>
                <w:szCs w:val="20"/>
                <w:shd w:val="clear" w:color="auto" w:fill="FFFFFF"/>
                <w:lang w:val="pt-BR"/>
              </w:rPr>
              <w:t>Associa melancolia ao gênio em filosofia, política e artes. Estabelece a dualidade sofrimento-genialidade.</w:t>
            </w:r>
          </w:p>
        </w:tc>
      </w:tr>
      <w:tr w:rsidR="0003312E" w14:paraId="78C0E09C" w14:textId="77777777">
        <w:tc>
          <w:tcPr>
            <w:tcW w:w="0" w:type="auto"/>
            <w:tcMar>
              <w:top w:w="150" w:type="dxa"/>
              <w:left w:w="0" w:type="dxa"/>
              <w:bottom w:w="150" w:type="dxa"/>
              <w:right w:w="240" w:type="dxa"/>
            </w:tcMar>
            <w:vAlign w:val="center"/>
          </w:tcPr>
          <w:p w14:paraId="655947D6" w14:textId="77777777" w:rsidR="0003312E" w:rsidRDefault="00000000">
            <w:pPr>
              <w:pStyle w:val="NormalWeb"/>
              <w:spacing w:beforeAutospacing="0" w:after="0" w:afterAutospacing="0" w:line="240" w:lineRule="auto"/>
              <w:jc w:val="both"/>
              <w:rPr>
                <w:rFonts w:eastAsia="Segoe UI"/>
                <w:b/>
                <w:bCs/>
                <w:sz w:val="20"/>
                <w:szCs w:val="20"/>
                <w:shd w:val="clear" w:color="auto" w:fill="FFFFFF"/>
              </w:rPr>
            </w:pPr>
            <w:proofErr w:type="spellStart"/>
            <w:r>
              <w:rPr>
                <w:rFonts w:eastAsia="Segoe UI"/>
                <w:b/>
                <w:bCs/>
                <w:sz w:val="20"/>
                <w:szCs w:val="20"/>
                <w:shd w:val="clear" w:color="auto" w:fill="FFFFFF"/>
              </w:rPr>
              <w:t>Idade</w:t>
            </w:r>
            <w:proofErr w:type="spellEnd"/>
            <w:r>
              <w:rPr>
                <w:rFonts w:eastAsia="Segoe UI"/>
                <w:b/>
                <w:bCs/>
                <w:sz w:val="20"/>
                <w:szCs w:val="20"/>
                <w:shd w:val="clear" w:color="auto" w:fill="FFFFFF"/>
              </w:rPr>
              <w:t xml:space="preserve"> </w:t>
            </w:r>
            <w:proofErr w:type="spellStart"/>
            <w:r>
              <w:rPr>
                <w:rFonts w:eastAsia="Segoe UI"/>
                <w:b/>
                <w:bCs/>
                <w:sz w:val="20"/>
                <w:szCs w:val="20"/>
                <w:shd w:val="clear" w:color="auto" w:fill="FFFFFF"/>
              </w:rPr>
              <w:t>Média</w:t>
            </w:r>
            <w:proofErr w:type="spellEnd"/>
          </w:p>
        </w:tc>
        <w:tc>
          <w:tcPr>
            <w:tcW w:w="0" w:type="auto"/>
            <w:tcMar>
              <w:top w:w="150" w:type="dxa"/>
              <w:left w:w="240" w:type="dxa"/>
              <w:bottom w:w="150" w:type="dxa"/>
              <w:right w:w="240" w:type="dxa"/>
            </w:tcMar>
            <w:vAlign w:val="center"/>
          </w:tcPr>
          <w:p w14:paraId="2D25D647" w14:textId="77777777" w:rsidR="0003312E" w:rsidRDefault="00000000">
            <w:pPr>
              <w:pStyle w:val="NormalWeb"/>
              <w:spacing w:beforeAutospacing="0" w:after="0" w:afterAutospacing="0" w:line="240" w:lineRule="auto"/>
              <w:jc w:val="both"/>
              <w:rPr>
                <w:rFonts w:eastAsia="Segoe UI"/>
                <w:sz w:val="20"/>
                <w:szCs w:val="20"/>
                <w:shd w:val="clear" w:color="auto" w:fill="FFFFFF"/>
              </w:rPr>
            </w:pPr>
            <w:r>
              <w:rPr>
                <w:rFonts w:eastAsia="Segoe UI"/>
                <w:sz w:val="20"/>
                <w:szCs w:val="20"/>
                <w:shd w:val="clear" w:color="auto" w:fill="FFFFFF"/>
              </w:rPr>
              <w:t>Acedia</w:t>
            </w:r>
          </w:p>
        </w:tc>
        <w:tc>
          <w:tcPr>
            <w:tcW w:w="0" w:type="auto"/>
            <w:tcMar>
              <w:top w:w="150" w:type="dxa"/>
              <w:left w:w="240" w:type="dxa"/>
              <w:bottom w:w="150" w:type="dxa"/>
              <w:right w:w="0" w:type="dxa"/>
            </w:tcMar>
            <w:vAlign w:val="center"/>
          </w:tcPr>
          <w:p w14:paraId="1F9A2D19" w14:textId="77777777" w:rsidR="0003312E" w:rsidRDefault="00000000">
            <w:pPr>
              <w:pStyle w:val="NormalWeb"/>
              <w:spacing w:beforeAutospacing="0" w:after="0" w:afterAutospacing="0" w:line="240" w:lineRule="auto"/>
              <w:jc w:val="both"/>
              <w:rPr>
                <w:rFonts w:eastAsia="Segoe UI"/>
                <w:sz w:val="20"/>
                <w:szCs w:val="20"/>
                <w:shd w:val="clear" w:color="auto" w:fill="FFFFFF"/>
                <w:lang w:val="pt-BR"/>
              </w:rPr>
            </w:pPr>
            <w:r>
              <w:rPr>
                <w:rFonts w:eastAsia="Segoe UI"/>
                <w:sz w:val="20"/>
                <w:szCs w:val="20"/>
                <w:shd w:val="clear" w:color="auto" w:fill="FFFFFF"/>
                <w:lang w:val="pt-BR"/>
              </w:rPr>
              <w:t>Interpretações predominantemente sobrenaturais, mas com continuidade de tradições médicas. Transformação teológica: a melancolia torna-se pecado capital, falha moral que afasta o fiel de Deus.</w:t>
            </w:r>
          </w:p>
        </w:tc>
      </w:tr>
      <w:tr w:rsidR="0003312E" w14:paraId="1DD3D806" w14:textId="77777777">
        <w:tc>
          <w:tcPr>
            <w:tcW w:w="0" w:type="auto"/>
            <w:tcMar>
              <w:top w:w="150" w:type="dxa"/>
              <w:left w:w="0" w:type="dxa"/>
              <w:bottom w:w="150" w:type="dxa"/>
              <w:right w:w="240" w:type="dxa"/>
            </w:tcMar>
            <w:vAlign w:val="center"/>
          </w:tcPr>
          <w:p w14:paraId="1A75BA48" w14:textId="77777777" w:rsidR="0003312E" w:rsidRDefault="00000000">
            <w:pPr>
              <w:pStyle w:val="NormalWeb"/>
              <w:spacing w:beforeAutospacing="0" w:after="0" w:afterAutospacing="0" w:line="240" w:lineRule="auto"/>
              <w:jc w:val="both"/>
              <w:rPr>
                <w:rFonts w:eastAsia="Segoe UI"/>
                <w:b/>
                <w:bCs/>
                <w:sz w:val="20"/>
                <w:szCs w:val="20"/>
                <w:shd w:val="clear" w:color="auto" w:fill="FFFFFF"/>
              </w:rPr>
            </w:pPr>
            <w:proofErr w:type="spellStart"/>
            <w:r>
              <w:rPr>
                <w:rFonts w:eastAsia="Segoe UI"/>
                <w:b/>
                <w:bCs/>
                <w:sz w:val="20"/>
                <w:szCs w:val="20"/>
                <w:shd w:val="clear" w:color="auto" w:fill="FFFFFF"/>
              </w:rPr>
              <w:t>Renascimento</w:t>
            </w:r>
            <w:proofErr w:type="spellEnd"/>
            <w:r>
              <w:rPr>
                <w:rFonts w:eastAsia="Segoe UI"/>
                <w:b/>
                <w:bCs/>
                <w:sz w:val="20"/>
                <w:szCs w:val="20"/>
                <w:shd w:val="clear" w:color="auto" w:fill="FFFFFF"/>
              </w:rPr>
              <w:t xml:space="preserve"> (Ficino)</w:t>
            </w:r>
          </w:p>
        </w:tc>
        <w:tc>
          <w:tcPr>
            <w:tcW w:w="0" w:type="auto"/>
            <w:tcMar>
              <w:top w:w="150" w:type="dxa"/>
              <w:left w:w="240" w:type="dxa"/>
              <w:bottom w:w="150" w:type="dxa"/>
              <w:right w:w="240" w:type="dxa"/>
            </w:tcMar>
            <w:vAlign w:val="center"/>
          </w:tcPr>
          <w:p w14:paraId="31782E81" w14:textId="77777777" w:rsidR="0003312E" w:rsidRDefault="00000000">
            <w:pPr>
              <w:pStyle w:val="NormalWeb"/>
              <w:spacing w:beforeAutospacing="0" w:after="0" w:afterAutospacing="0" w:line="240" w:lineRule="auto"/>
              <w:jc w:val="both"/>
              <w:rPr>
                <w:rFonts w:eastAsia="Segoe UI"/>
                <w:sz w:val="20"/>
                <w:szCs w:val="20"/>
                <w:shd w:val="clear" w:color="auto" w:fill="FFFFFF"/>
              </w:rPr>
            </w:pPr>
            <w:proofErr w:type="spellStart"/>
            <w:r>
              <w:rPr>
                <w:rFonts w:eastAsia="Segoe UI"/>
                <w:sz w:val="20"/>
                <w:szCs w:val="20"/>
                <w:shd w:val="clear" w:color="auto" w:fill="FFFFFF"/>
              </w:rPr>
              <w:t>Melancolia</w:t>
            </w:r>
            <w:proofErr w:type="spellEnd"/>
            <w:r>
              <w:rPr>
                <w:rFonts w:eastAsia="Segoe UI"/>
                <w:sz w:val="20"/>
                <w:szCs w:val="20"/>
                <w:shd w:val="clear" w:color="auto" w:fill="FFFFFF"/>
              </w:rPr>
              <w:t xml:space="preserve"> do </w:t>
            </w:r>
            <w:proofErr w:type="spellStart"/>
            <w:r>
              <w:rPr>
                <w:rFonts w:eastAsia="Segoe UI"/>
                <w:sz w:val="20"/>
                <w:szCs w:val="20"/>
                <w:shd w:val="clear" w:color="auto" w:fill="FFFFFF"/>
              </w:rPr>
              <w:t>homem</w:t>
            </w:r>
            <w:proofErr w:type="spellEnd"/>
            <w:r>
              <w:rPr>
                <w:rFonts w:eastAsia="Segoe UI"/>
                <w:sz w:val="20"/>
                <w:szCs w:val="20"/>
                <w:shd w:val="clear" w:color="auto" w:fill="FFFFFF"/>
              </w:rPr>
              <w:t xml:space="preserve"> superior</w:t>
            </w:r>
          </w:p>
        </w:tc>
        <w:tc>
          <w:tcPr>
            <w:tcW w:w="0" w:type="auto"/>
            <w:tcMar>
              <w:top w:w="150" w:type="dxa"/>
              <w:left w:w="240" w:type="dxa"/>
              <w:bottom w:w="150" w:type="dxa"/>
              <w:right w:w="0" w:type="dxa"/>
            </w:tcMar>
            <w:vAlign w:val="center"/>
          </w:tcPr>
          <w:p w14:paraId="6A9CD63D" w14:textId="77777777" w:rsidR="0003312E" w:rsidRDefault="00000000">
            <w:pPr>
              <w:pStyle w:val="NormalWeb"/>
              <w:spacing w:beforeAutospacing="0" w:after="0" w:afterAutospacing="0" w:line="240" w:lineRule="auto"/>
              <w:jc w:val="both"/>
              <w:rPr>
                <w:rFonts w:eastAsia="Segoe UI"/>
                <w:sz w:val="20"/>
                <w:szCs w:val="20"/>
                <w:shd w:val="clear" w:color="auto" w:fill="FFFFFF"/>
              </w:rPr>
            </w:pPr>
            <w:r>
              <w:rPr>
                <w:rFonts w:eastAsia="Segoe UI"/>
                <w:sz w:val="20"/>
                <w:szCs w:val="20"/>
                <w:shd w:val="clear" w:color="auto" w:fill="FFFFFF"/>
                <w:lang w:val="pt-BR"/>
              </w:rPr>
              <w:t xml:space="preserve">Reabilitação do conceito. Associada a Saturno e intelectuais, torna-se sinal de profundidade. </w:t>
            </w:r>
            <w:r>
              <w:rPr>
                <w:rFonts w:eastAsia="Segoe UI"/>
                <w:sz w:val="20"/>
                <w:szCs w:val="20"/>
                <w:shd w:val="clear" w:color="auto" w:fill="FFFFFF"/>
              </w:rPr>
              <w:t xml:space="preserve">Dürer </w:t>
            </w:r>
            <w:proofErr w:type="spellStart"/>
            <w:r>
              <w:rPr>
                <w:rFonts w:eastAsia="Segoe UI"/>
                <w:sz w:val="20"/>
                <w:szCs w:val="20"/>
                <w:shd w:val="clear" w:color="auto" w:fill="FFFFFF"/>
              </w:rPr>
              <w:t>imortaliza</w:t>
            </w:r>
            <w:proofErr w:type="spellEnd"/>
            <w:r>
              <w:rPr>
                <w:rFonts w:eastAsia="Segoe UI"/>
                <w:sz w:val="20"/>
                <w:szCs w:val="20"/>
                <w:shd w:val="clear" w:color="auto" w:fill="FFFFFF"/>
              </w:rPr>
              <w:t xml:space="preserve"> </w:t>
            </w:r>
            <w:proofErr w:type="spellStart"/>
            <w:r>
              <w:rPr>
                <w:rFonts w:eastAsia="Segoe UI"/>
                <w:sz w:val="20"/>
                <w:szCs w:val="20"/>
                <w:shd w:val="clear" w:color="auto" w:fill="FFFFFF"/>
              </w:rPr>
              <w:t>em</w:t>
            </w:r>
            <w:proofErr w:type="spellEnd"/>
            <w:r>
              <w:rPr>
                <w:rFonts w:eastAsia="Segoe UI"/>
                <w:sz w:val="20"/>
                <w:szCs w:val="20"/>
                <w:shd w:val="clear" w:color="auto" w:fill="FFFFFF"/>
              </w:rPr>
              <w:t xml:space="preserve"> </w:t>
            </w:r>
            <w:proofErr w:type="spellStart"/>
            <w:r>
              <w:rPr>
                <w:rFonts w:eastAsia="Segoe UI"/>
                <w:sz w:val="20"/>
                <w:szCs w:val="20"/>
                <w:shd w:val="clear" w:color="auto" w:fill="FFFFFF"/>
              </w:rPr>
              <w:t>Melencolia</w:t>
            </w:r>
            <w:proofErr w:type="spellEnd"/>
            <w:r>
              <w:rPr>
                <w:rFonts w:eastAsia="Segoe UI"/>
                <w:sz w:val="20"/>
                <w:szCs w:val="20"/>
                <w:shd w:val="clear" w:color="auto" w:fill="FFFFFF"/>
              </w:rPr>
              <w:t xml:space="preserve"> I (1514).</w:t>
            </w:r>
          </w:p>
        </w:tc>
      </w:tr>
      <w:tr w:rsidR="0003312E" w14:paraId="59CF6EDA" w14:textId="77777777">
        <w:tc>
          <w:tcPr>
            <w:tcW w:w="0" w:type="auto"/>
            <w:tcMar>
              <w:top w:w="150" w:type="dxa"/>
              <w:left w:w="0" w:type="dxa"/>
              <w:bottom w:w="150" w:type="dxa"/>
              <w:right w:w="240" w:type="dxa"/>
            </w:tcMar>
            <w:vAlign w:val="center"/>
          </w:tcPr>
          <w:p w14:paraId="63132D4D" w14:textId="77777777" w:rsidR="0003312E" w:rsidRDefault="00000000">
            <w:pPr>
              <w:pStyle w:val="NormalWeb"/>
              <w:spacing w:beforeAutospacing="0" w:after="0" w:afterAutospacing="0" w:line="240" w:lineRule="auto"/>
              <w:jc w:val="both"/>
              <w:rPr>
                <w:rFonts w:eastAsia="Segoe UI"/>
                <w:b/>
                <w:bCs/>
                <w:sz w:val="20"/>
                <w:szCs w:val="20"/>
                <w:shd w:val="clear" w:color="auto" w:fill="FFFFFF"/>
              </w:rPr>
            </w:pPr>
            <w:r>
              <w:rPr>
                <w:rFonts w:eastAsia="Segoe UI"/>
                <w:b/>
                <w:bCs/>
                <w:sz w:val="20"/>
                <w:szCs w:val="20"/>
                <w:shd w:val="clear" w:color="auto" w:fill="FFFFFF"/>
              </w:rPr>
              <w:t>1621</w:t>
            </w:r>
          </w:p>
        </w:tc>
        <w:tc>
          <w:tcPr>
            <w:tcW w:w="0" w:type="auto"/>
            <w:tcMar>
              <w:top w:w="150" w:type="dxa"/>
              <w:left w:w="240" w:type="dxa"/>
              <w:bottom w:w="150" w:type="dxa"/>
              <w:right w:w="240" w:type="dxa"/>
            </w:tcMar>
            <w:vAlign w:val="center"/>
          </w:tcPr>
          <w:p w14:paraId="71BDDBFB" w14:textId="77777777" w:rsidR="0003312E" w:rsidRDefault="00000000">
            <w:pPr>
              <w:pStyle w:val="NormalWeb"/>
              <w:spacing w:beforeAutospacing="0" w:after="0" w:afterAutospacing="0" w:line="240" w:lineRule="auto"/>
              <w:jc w:val="both"/>
              <w:rPr>
                <w:rFonts w:eastAsia="Segoe UI"/>
                <w:sz w:val="20"/>
                <w:szCs w:val="20"/>
                <w:shd w:val="clear" w:color="auto" w:fill="FFFFFF"/>
              </w:rPr>
            </w:pPr>
            <w:r>
              <w:rPr>
                <w:rFonts w:eastAsia="Segoe UI"/>
                <w:sz w:val="20"/>
                <w:szCs w:val="20"/>
                <w:shd w:val="clear" w:color="auto" w:fill="FFFFFF"/>
              </w:rPr>
              <w:t>The Anatomy of Melancholy</w:t>
            </w:r>
          </w:p>
        </w:tc>
        <w:tc>
          <w:tcPr>
            <w:tcW w:w="0" w:type="auto"/>
            <w:tcMar>
              <w:top w:w="150" w:type="dxa"/>
              <w:left w:w="240" w:type="dxa"/>
              <w:bottom w:w="150" w:type="dxa"/>
              <w:right w:w="0" w:type="dxa"/>
            </w:tcMar>
            <w:vAlign w:val="center"/>
          </w:tcPr>
          <w:p w14:paraId="1BAD1370" w14:textId="77777777" w:rsidR="0003312E" w:rsidRDefault="00000000">
            <w:pPr>
              <w:pStyle w:val="NormalWeb"/>
              <w:spacing w:beforeAutospacing="0" w:after="0" w:afterAutospacing="0" w:line="240" w:lineRule="auto"/>
              <w:jc w:val="both"/>
              <w:rPr>
                <w:rFonts w:eastAsia="Segoe UI"/>
                <w:sz w:val="20"/>
                <w:szCs w:val="20"/>
                <w:shd w:val="clear" w:color="auto" w:fill="FFFFFF"/>
              </w:rPr>
            </w:pPr>
            <w:r>
              <w:rPr>
                <w:rFonts w:eastAsia="Segoe UI"/>
                <w:sz w:val="20"/>
                <w:szCs w:val="20"/>
                <w:shd w:val="clear" w:color="auto" w:fill="FFFFFF"/>
                <w:lang w:val="pt-BR"/>
              </w:rPr>
              <w:t xml:space="preserve">Burton compila todo o conhecimento sobre a melancolia, tratando-a como condição universal que abrange corpo, mente e espírito. </w:t>
            </w:r>
            <w:r>
              <w:rPr>
                <w:rFonts w:eastAsia="Segoe UI"/>
                <w:sz w:val="20"/>
                <w:szCs w:val="20"/>
                <w:shd w:val="clear" w:color="auto" w:fill="FFFFFF"/>
              </w:rPr>
              <w:t xml:space="preserve">Obra </w:t>
            </w:r>
            <w:proofErr w:type="spellStart"/>
            <w:r>
              <w:rPr>
                <w:rFonts w:eastAsia="Segoe UI"/>
                <w:sz w:val="20"/>
                <w:szCs w:val="20"/>
                <w:shd w:val="clear" w:color="auto" w:fill="FFFFFF"/>
              </w:rPr>
              <w:t>ao</w:t>
            </w:r>
            <w:proofErr w:type="spellEnd"/>
            <w:r>
              <w:rPr>
                <w:rFonts w:eastAsia="Segoe UI"/>
                <w:sz w:val="20"/>
                <w:szCs w:val="20"/>
                <w:shd w:val="clear" w:color="auto" w:fill="FFFFFF"/>
              </w:rPr>
              <w:t xml:space="preserve"> </w:t>
            </w:r>
            <w:proofErr w:type="spellStart"/>
            <w:r>
              <w:rPr>
                <w:rFonts w:eastAsia="Segoe UI"/>
                <w:sz w:val="20"/>
                <w:szCs w:val="20"/>
                <w:shd w:val="clear" w:color="auto" w:fill="FFFFFF"/>
              </w:rPr>
              <w:t>mesmo</w:t>
            </w:r>
            <w:proofErr w:type="spellEnd"/>
            <w:r>
              <w:rPr>
                <w:rFonts w:eastAsia="Segoe UI"/>
                <w:sz w:val="20"/>
                <w:szCs w:val="20"/>
                <w:shd w:val="clear" w:color="auto" w:fill="FFFFFF"/>
              </w:rPr>
              <w:t xml:space="preserve"> tempo </w:t>
            </w:r>
            <w:proofErr w:type="spellStart"/>
            <w:r>
              <w:rPr>
                <w:rFonts w:eastAsia="Segoe UI"/>
                <w:sz w:val="20"/>
                <w:szCs w:val="20"/>
                <w:shd w:val="clear" w:color="auto" w:fill="FFFFFF"/>
              </w:rPr>
              <w:t>enciclopédia</w:t>
            </w:r>
            <w:proofErr w:type="spellEnd"/>
            <w:r>
              <w:rPr>
                <w:rFonts w:eastAsia="Segoe UI"/>
                <w:sz w:val="20"/>
                <w:szCs w:val="20"/>
                <w:shd w:val="clear" w:color="auto" w:fill="FFFFFF"/>
              </w:rPr>
              <w:t xml:space="preserve"> e </w:t>
            </w:r>
            <w:proofErr w:type="spellStart"/>
            <w:r>
              <w:rPr>
                <w:rFonts w:eastAsia="Segoe UI"/>
                <w:sz w:val="20"/>
                <w:szCs w:val="20"/>
                <w:shd w:val="clear" w:color="auto" w:fill="FFFFFF"/>
              </w:rPr>
              <w:t>confissão</w:t>
            </w:r>
            <w:proofErr w:type="spellEnd"/>
            <w:r>
              <w:rPr>
                <w:rFonts w:eastAsia="Segoe UI"/>
                <w:sz w:val="20"/>
                <w:szCs w:val="20"/>
                <w:shd w:val="clear" w:color="auto" w:fill="FFFFFF"/>
              </w:rPr>
              <w:t>.</w:t>
            </w:r>
          </w:p>
        </w:tc>
      </w:tr>
      <w:tr w:rsidR="0003312E" w14:paraId="57CD678D" w14:textId="77777777">
        <w:tc>
          <w:tcPr>
            <w:tcW w:w="0" w:type="auto"/>
            <w:tcMar>
              <w:top w:w="150" w:type="dxa"/>
              <w:left w:w="0" w:type="dxa"/>
              <w:bottom w:w="150" w:type="dxa"/>
              <w:right w:w="240" w:type="dxa"/>
            </w:tcMar>
            <w:vAlign w:val="center"/>
          </w:tcPr>
          <w:p w14:paraId="05DC7FC2" w14:textId="77777777" w:rsidR="0003312E" w:rsidRDefault="00000000">
            <w:pPr>
              <w:pStyle w:val="NormalWeb"/>
              <w:spacing w:beforeAutospacing="0" w:after="0" w:afterAutospacing="0" w:line="240" w:lineRule="auto"/>
              <w:jc w:val="both"/>
              <w:rPr>
                <w:rFonts w:eastAsia="Segoe UI"/>
                <w:b/>
                <w:bCs/>
                <w:sz w:val="20"/>
                <w:szCs w:val="20"/>
                <w:shd w:val="clear" w:color="auto" w:fill="FFFFFF"/>
              </w:rPr>
            </w:pPr>
            <w:proofErr w:type="spellStart"/>
            <w:r>
              <w:rPr>
                <w:rFonts w:eastAsia="Segoe UI"/>
                <w:b/>
                <w:bCs/>
                <w:sz w:val="20"/>
                <w:szCs w:val="20"/>
                <w:shd w:val="clear" w:color="auto" w:fill="FFFFFF"/>
              </w:rPr>
              <w:t>Século</w:t>
            </w:r>
            <w:proofErr w:type="spellEnd"/>
            <w:r>
              <w:rPr>
                <w:rFonts w:eastAsia="Segoe UI"/>
                <w:b/>
                <w:bCs/>
                <w:sz w:val="20"/>
                <w:szCs w:val="20"/>
                <w:shd w:val="clear" w:color="auto" w:fill="FFFFFF"/>
              </w:rPr>
              <w:t xml:space="preserve"> XX</w:t>
            </w:r>
          </w:p>
        </w:tc>
        <w:tc>
          <w:tcPr>
            <w:tcW w:w="0" w:type="auto"/>
            <w:tcMar>
              <w:top w:w="150" w:type="dxa"/>
              <w:left w:w="240" w:type="dxa"/>
              <w:bottom w:w="150" w:type="dxa"/>
              <w:right w:w="240" w:type="dxa"/>
            </w:tcMar>
            <w:vAlign w:val="center"/>
          </w:tcPr>
          <w:p w14:paraId="771DF1CA" w14:textId="77777777" w:rsidR="0003312E" w:rsidRDefault="00000000">
            <w:pPr>
              <w:pStyle w:val="NormalWeb"/>
              <w:spacing w:beforeAutospacing="0" w:after="0" w:afterAutospacing="0" w:line="240" w:lineRule="auto"/>
              <w:jc w:val="both"/>
              <w:rPr>
                <w:rFonts w:eastAsia="Segoe UI"/>
                <w:sz w:val="20"/>
                <w:szCs w:val="20"/>
                <w:shd w:val="clear" w:color="auto" w:fill="FFFFFF"/>
              </w:rPr>
            </w:pPr>
            <w:r>
              <w:rPr>
                <w:rFonts w:eastAsia="Segoe UI"/>
                <w:sz w:val="20"/>
                <w:szCs w:val="20"/>
                <w:shd w:val="clear" w:color="auto" w:fill="FFFFFF"/>
              </w:rPr>
              <w:t xml:space="preserve">Luto e </w:t>
            </w:r>
            <w:proofErr w:type="spellStart"/>
            <w:r>
              <w:rPr>
                <w:rFonts w:eastAsia="Segoe UI"/>
                <w:sz w:val="20"/>
                <w:szCs w:val="20"/>
                <w:shd w:val="clear" w:color="auto" w:fill="FFFFFF"/>
              </w:rPr>
              <w:t>Melancolia</w:t>
            </w:r>
            <w:proofErr w:type="spellEnd"/>
            <w:r>
              <w:rPr>
                <w:rFonts w:eastAsia="Segoe UI"/>
                <w:sz w:val="20"/>
                <w:szCs w:val="20"/>
                <w:shd w:val="clear" w:color="auto" w:fill="FFFFFF"/>
              </w:rPr>
              <w:t xml:space="preserve"> (Freud, 1917)</w:t>
            </w:r>
          </w:p>
        </w:tc>
        <w:tc>
          <w:tcPr>
            <w:tcW w:w="0" w:type="auto"/>
            <w:tcMar>
              <w:top w:w="150" w:type="dxa"/>
              <w:left w:w="240" w:type="dxa"/>
              <w:bottom w:w="150" w:type="dxa"/>
              <w:right w:w="0" w:type="dxa"/>
            </w:tcMar>
            <w:vAlign w:val="center"/>
          </w:tcPr>
          <w:p w14:paraId="52D1DB0D" w14:textId="77777777" w:rsidR="0003312E" w:rsidRDefault="00000000">
            <w:pPr>
              <w:pStyle w:val="NormalWeb"/>
              <w:spacing w:beforeAutospacing="0" w:after="0" w:afterAutospacing="0" w:line="240" w:lineRule="auto"/>
              <w:jc w:val="both"/>
              <w:rPr>
                <w:rFonts w:eastAsia="Segoe UI"/>
                <w:sz w:val="20"/>
                <w:szCs w:val="20"/>
                <w:shd w:val="clear" w:color="auto" w:fill="FFFFFF"/>
                <w:lang w:val="pt-BR"/>
              </w:rPr>
            </w:pPr>
            <w:r>
              <w:rPr>
                <w:rFonts w:eastAsia="Segoe UI"/>
                <w:sz w:val="20"/>
                <w:szCs w:val="20"/>
                <w:shd w:val="clear" w:color="auto" w:fill="FFFFFF"/>
                <w:lang w:val="pt-BR"/>
              </w:rPr>
              <w:t>Freud psicanalisa a melancolia: o ego se volta contra si mesmo, internalizando a perda e a raiva.</w:t>
            </w:r>
          </w:p>
        </w:tc>
      </w:tr>
      <w:tr w:rsidR="0003312E" w14:paraId="4D5C7A3F" w14:textId="77777777">
        <w:tc>
          <w:tcPr>
            <w:tcW w:w="0" w:type="auto"/>
            <w:tcMar>
              <w:top w:w="150" w:type="dxa"/>
              <w:left w:w="0" w:type="dxa"/>
              <w:bottom w:w="150" w:type="dxa"/>
              <w:right w:w="240" w:type="dxa"/>
            </w:tcMar>
            <w:vAlign w:val="center"/>
          </w:tcPr>
          <w:p w14:paraId="7E0A604A" w14:textId="77777777" w:rsidR="0003312E" w:rsidRDefault="00000000">
            <w:pPr>
              <w:pStyle w:val="NormalWeb"/>
              <w:spacing w:beforeAutospacing="0" w:after="0" w:afterAutospacing="0" w:line="240" w:lineRule="auto"/>
              <w:jc w:val="both"/>
              <w:rPr>
                <w:rFonts w:eastAsia="Segoe UI"/>
                <w:b/>
                <w:bCs/>
                <w:sz w:val="20"/>
                <w:szCs w:val="20"/>
                <w:shd w:val="clear" w:color="auto" w:fill="FFFFFF"/>
              </w:rPr>
            </w:pPr>
            <w:proofErr w:type="spellStart"/>
            <w:r>
              <w:rPr>
                <w:rFonts w:eastAsia="Segoe UI"/>
                <w:b/>
                <w:bCs/>
                <w:sz w:val="20"/>
                <w:szCs w:val="20"/>
                <w:shd w:val="clear" w:color="auto" w:fill="FFFFFF"/>
              </w:rPr>
              <w:t>Século</w:t>
            </w:r>
            <w:proofErr w:type="spellEnd"/>
            <w:r>
              <w:rPr>
                <w:rFonts w:eastAsia="Segoe UI"/>
                <w:b/>
                <w:bCs/>
                <w:sz w:val="20"/>
                <w:szCs w:val="20"/>
                <w:shd w:val="clear" w:color="auto" w:fill="FFFFFF"/>
              </w:rPr>
              <w:t xml:space="preserve"> XXI</w:t>
            </w:r>
          </w:p>
        </w:tc>
        <w:tc>
          <w:tcPr>
            <w:tcW w:w="0" w:type="auto"/>
            <w:tcMar>
              <w:top w:w="150" w:type="dxa"/>
              <w:left w:w="240" w:type="dxa"/>
              <w:bottom w:w="150" w:type="dxa"/>
              <w:right w:w="240" w:type="dxa"/>
            </w:tcMar>
            <w:vAlign w:val="center"/>
          </w:tcPr>
          <w:p w14:paraId="6F1CEF71" w14:textId="77777777" w:rsidR="0003312E" w:rsidRDefault="00000000">
            <w:pPr>
              <w:pStyle w:val="NormalWeb"/>
              <w:spacing w:beforeAutospacing="0" w:after="0" w:afterAutospacing="0" w:line="240" w:lineRule="auto"/>
              <w:jc w:val="both"/>
              <w:rPr>
                <w:rFonts w:eastAsia="Segoe UI"/>
                <w:sz w:val="20"/>
                <w:szCs w:val="20"/>
                <w:shd w:val="clear" w:color="auto" w:fill="FFFFFF"/>
              </w:rPr>
            </w:pPr>
            <w:proofErr w:type="spellStart"/>
            <w:r>
              <w:rPr>
                <w:rFonts w:eastAsia="Segoe UI"/>
                <w:sz w:val="20"/>
                <w:szCs w:val="20"/>
                <w:shd w:val="clear" w:color="auto" w:fill="FFFFFF"/>
              </w:rPr>
              <w:t>Depressão</w:t>
            </w:r>
            <w:proofErr w:type="spellEnd"/>
            <w:r>
              <w:rPr>
                <w:rFonts w:eastAsia="Segoe UI"/>
                <w:sz w:val="20"/>
                <w:szCs w:val="20"/>
                <w:shd w:val="clear" w:color="auto" w:fill="FFFFFF"/>
              </w:rPr>
              <w:t xml:space="preserve"> </w:t>
            </w:r>
            <w:proofErr w:type="spellStart"/>
            <w:r>
              <w:rPr>
                <w:rFonts w:eastAsia="Segoe UI"/>
                <w:sz w:val="20"/>
                <w:szCs w:val="20"/>
                <w:shd w:val="clear" w:color="auto" w:fill="FFFFFF"/>
              </w:rPr>
              <w:t>melancólica</w:t>
            </w:r>
            <w:proofErr w:type="spellEnd"/>
          </w:p>
        </w:tc>
        <w:tc>
          <w:tcPr>
            <w:tcW w:w="0" w:type="auto"/>
            <w:tcMar>
              <w:top w:w="150" w:type="dxa"/>
              <w:left w:w="240" w:type="dxa"/>
              <w:bottom w:w="150" w:type="dxa"/>
              <w:right w:w="0" w:type="dxa"/>
            </w:tcMar>
            <w:vAlign w:val="center"/>
          </w:tcPr>
          <w:p w14:paraId="441AA5EE" w14:textId="77777777" w:rsidR="0003312E" w:rsidRDefault="00000000">
            <w:pPr>
              <w:pStyle w:val="NormalWeb"/>
              <w:spacing w:beforeAutospacing="0" w:after="0" w:afterAutospacing="0" w:line="240" w:lineRule="auto"/>
              <w:jc w:val="both"/>
              <w:rPr>
                <w:rFonts w:eastAsia="Segoe UI"/>
                <w:sz w:val="20"/>
                <w:szCs w:val="20"/>
                <w:shd w:val="clear" w:color="auto" w:fill="FFFFFF"/>
              </w:rPr>
            </w:pPr>
            <w:r>
              <w:rPr>
                <w:rFonts w:eastAsia="Segoe UI"/>
                <w:sz w:val="20"/>
                <w:szCs w:val="20"/>
                <w:shd w:val="clear" w:color="auto" w:fill="FFFFFF"/>
                <w:lang w:val="pt-BR"/>
              </w:rPr>
              <w:t xml:space="preserve">Codificada como subtipo depressivo, mas sujeita a debates sobre medicalização da experiência humana com bases neurobiológicas. </w:t>
            </w:r>
            <w:r>
              <w:rPr>
                <w:rFonts w:eastAsia="Segoe UI"/>
                <w:sz w:val="20"/>
                <w:szCs w:val="20"/>
                <w:shd w:val="clear" w:color="auto" w:fill="FFFFFF"/>
              </w:rPr>
              <w:t xml:space="preserve">Aura de </w:t>
            </w:r>
            <w:proofErr w:type="spellStart"/>
            <w:r>
              <w:rPr>
                <w:rFonts w:eastAsia="Segoe UI"/>
                <w:sz w:val="20"/>
                <w:szCs w:val="20"/>
                <w:shd w:val="clear" w:color="auto" w:fill="FFFFFF"/>
              </w:rPr>
              <w:t>mistério</w:t>
            </w:r>
            <w:proofErr w:type="spellEnd"/>
            <w:r>
              <w:rPr>
                <w:rFonts w:eastAsia="Segoe UI"/>
                <w:sz w:val="20"/>
                <w:szCs w:val="20"/>
                <w:shd w:val="clear" w:color="auto" w:fill="FFFFFF"/>
              </w:rPr>
              <w:t xml:space="preserve"> cultural </w:t>
            </w:r>
            <w:proofErr w:type="spellStart"/>
            <w:r>
              <w:rPr>
                <w:rFonts w:eastAsia="Segoe UI"/>
                <w:sz w:val="20"/>
                <w:szCs w:val="20"/>
                <w:shd w:val="clear" w:color="auto" w:fill="FFFFFF"/>
              </w:rPr>
              <w:t>permanece</w:t>
            </w:r>
            <w:proofErr w:type="spellEnd"/>
            <w:r>
              <w:rPr>
                <w:rFonts w:eastAsia="Segoe UI"/>
                <w:sz w:val="20"/>
                <w:szCs w:val="20"/>
                <w:shd w:val="clear" w:color="auto" w:fill="FFFFFF"/>
              </w:rPr>
              <w:t>.</w:t>
            </w:r>
          </w:p>
        </w:tc>
      </w:tr>
    </w:tbl>
    <w:p w14:paraId="6FCA941B" w14:textId="77777777" w:rsidR="0003312E" w:rsidRDefault="0003312E">
      <w:pPr>
        <w:pStyle w:val="NormalWeb"/>
        <w:spacing w:beforeAutospacing="0" w:after="0" w:afterAutospacing="0" w:line="360" w:lineRule="auto"/>
        <w:ind w:firstLine="709"/>
        <w:jc w:val="both"/>
        <w:rPr>
          <w:rFonts w:eastAsia="Segoe UI"/>
          <w:b/>
          <w:bCs/>
          <w:sz w:val="24"/>
          <w:shd w:val="clear" w:color="auto" w:fill="FFFFFF"/>
          <w:lang w:val="pt-BR"/>
        </w:rPr>
      </w:pPr>
    </w:p>
    <w:p w14:paraId="49A0CC1D"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b/>
          <w:bCs/>
          <w:sz w:val="24"/>
          <w:shd w:val="clear" w:color="auto" w:fill="FFFFFF"/>
          <w:lang w:val="pt-BR"/>
        </w:rPr>
        <w:t>Em Essência: as Quatro Dimensões da Melancolia</w:t>
      </w:r>
    </w:p>
    <w:p w14:paraId="38C35B90"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b/>
          <w:bCs/>
          <w:sz w:val="24"/>
          <w:shd w:val="clear" w:color="auto" w:fill="FFFFFF"/>
          <w:lang w:val="pt-BR"/>
        </w:rPr>
        <w:t>1. A Dimensão Etimológica: A Cor da Alma</w:t>
      </w:r>
    </w:p>
    <w:p w14:paraId="399C73C9"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 xml:space="preserve">A própria palavra "melancolia" carrega em si uma teoria médica antiga: vem do grego </w:t>
      </w:r>
      <w:proofErr w:type="spellStart"/>
      <w:r>
        <w:rPr>
          <w:rFonts w:eastAsia="Segoe UI"/>
          <w:sz w:val="24"/>
          <w:shd w:val="clear" w:color="auto" w:fill="FFFFFF"/>
          <w:lang w:val="pt-BR"/>
        </w:rPr>
        <w:t>melankholía</w:t>
      </w:r>
      <w:proofErr w:type="spellEnd"/>
      <w:r>
        <w:rPr>
          <w:rFonts w:eastAsia="Segoe UI"/>
          <w:sz w:val="24"/>
          <w:shd w:val="clear" w:color="auto" w:fill="FFFFFF"/>
          <w:lang w:val="pt-BR"/>
        </w:rPr>
        <w:t>, que significa literalmente "bile negra". Para os gregos, esta não era uma metáfora, mas uma substância real que, em excesso, intoxicava tanto o corpo quanto a mente. Essa origem linguística revela como entendiam a tristeza profunda como algo físico e tangível - um humor escuro que realmente manchava a existência. Mesmo depois que a teoria dos humores foi abandonada, a força desta imagem permaneceu, capturando a sensação visceral de peso e escuridão que caracteriza a experiência melancólica.</w:t>
      </w:r>
    </w:p>
    <w:p w14:paraId="4212C301" w14:textId="77777777" w:rsidR="0003312E" w:rsidRDefault="0003312E">
      <w:pPr>
        <w:pStyle w:val="NormalWeb"/>
        <w:spacing w:beforeAutospacing="0" w:after="0" w:afterAutospacing="0" w:line="360" w:lineRule="auto"/>
        <w:ind w:firstLine="709"/>
        <w:jc w:val="both"/>
        <w:rPr>
          <w:rFonts w:eastAsia="Segoe UI"/>
          <w:b/>
          <w:bCs/>
          <w:sz w:val="24"/>
          <w:shd w:val="clear" w:color="auto" w:fill="FFFFFF"/>
          <w:lang w:val="pt-BR"/>
        </w:rPr>
      </w:pPr>
    </w:p>
    <w:p w14:paraId="64CFE729"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b/>
          <w:bCs/>
          <w:sz w:val="24"/>
          <w:shd w:val="clear" w:color="auto" w:fill="FFFFFF"/>
          <w:lang w:val="pt-BR"/>
        </w:rPr>
        <w:t>2. A Dimensão Histórico-Clínica: Do Humor Biliar ao Gênio Criativo</w:t>
      </w:r>
    </w:p>
    <w:p w14:paraId="16E3FC05"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 xml:space="preserve">A trajetória do conceito de melancolia constitui uma das mais ricas transformações na história das ideias. Linguisticamente, o termo latino </w:t>
      </w:r>
      <w:proofErr w:type="spellStart"/>
      <w:r>
        <w:rPr>
          <w:rFonts w:eastAsia="Segoe UI"/>
          <w:sz w:val="24"/>
          <w:shd w:val="clear" w:color="auto" w:fill="FFFFFF"/>
          <w:lang w:val="pt-BR"/>
        </w:rPr>
        <w:t>melancholia</w:t>
      </w:r>
      <w:proofErr w:type="spellEnd"/>
      <w:r>
        <w:rPr>
          <w:rFonts w:eastAsia="Segoe UI"/>
          <w:sz w:val="24"/>
          <w:shd w:val="clear" w:color="auto" w:fill="FFFFFF"/>
          <w:lang w:val="pt-BR"/>
        </w:rPr>
        <w:t xml:space="preserve">, substantivo feminino </w:t>
      </w:r>
      <w:r>
        <w:rPr>
          <w:rFonts w:eastAsia="Segoe UI"/>
          <w:sz w:val="24"/>
          <w:shd w:val="clear" w:color="auto" w:fill="FFFFFF"/>
          <w:lang w:val="pt-BR"/>
        </w:rPr>
        <w:lastRenderedPageBreak/>
        <w:t xml:space="preserve">derivado do grego </w:t>
      </w:r>
      <w:proofErr w:type="spellStart"/>
      <w:r>
        <w:rPr>
          <w:rFonts w:eastAsia="Segoe UI"/>
          <w:sz w:val="24"/>
          <w:shd w:val="clear" w:color="auto" w:fill="FFFFFF"/>
        </w:rPr>
        <w:t>μελ</w:t>
      </w:r>
      <w:proofErr w:type="spellEnd"/>
      <w:r>
        <w:rPr>
          <w:rFonts w:eastAsia="Segoe UI"/>
          <w:sz w:val="24"/>
          <w:shd w:val="clear" w:color="auto" w:fill="FFFFFF"/>
        </w:rPr>
        <w:t>αγχολία</w:t>
      </w:r>
      <w:r>
        <w:rPr>
          <w:rFonts w:eastAsia="Segoe UI"/>
          <w:sz w:val="24"/>
          <w:shd w:val="clear" w:color="auto" w:fill="FFFFFF"/>
          <w:lang w:val="pt-BR"/>
        </w:rPr>
        <w:t xml:space="preserve">, foi consolidado na tradição médica tardia, como atestado na obra </w:t>
      </w:r>
      <w:proofErr w:type="spellStart"/>
      <w:r>
        <w:rPr>
          <w:rFonts w:eastAsia="Segoe UI"/>
          <w:sz w:val="24"/>
          <w:shd w:val="clear" w:color="auto" w:fill="FFFFFF"/>
          <w:lang w:val="pt-BR"/>
        </w:rPr>
        <w:t>Acut</w:t>
      </w:r>
      <w:proofErr w:type="spellEnd"/>
      <w:r>
        <w:rPr>
          <w:rFonts w:eastAsia="Segoe UI"/>
          <w:sz w:val="24"/>
          <w:shd w:val="clear" w:color="auto" w:fill="FFFFFF"/>
          <w:lang w:val="pt-BR"/>
        </w:rPr>
        <w:t xml:space="preserve">. 3, 12, 108, de Celio </w:t>
      </w:r>
      <w:proofErr w:type="spellStart"/>
      <w:r>
        <w:rPr>
          <w:rFonts w:eastAsia="Segoe UI"/>
          <w:sz w:val="24"/>
          <w:shd w:val="clear" w:color="auto" w:fill="FFFFFF"/>
          <w:lang w:val="pt-BR"/>
        </w:rPr>
        <w:t>Auréliano</w:t>
      </w:r>
      <w:proofErr w:type="spellEnd"/>
      <w:r>
        <w:rPr>
          <w:rFonts w:eastAsia="Segoe UI"/>
          <w:sz w:val="24"/>
          <w:shd w:val="clear" w:color="auto" w:fill="FFFFFF"/>
          <w:lang w:val="pt-BR"/>
        </w:rPr>
        <w:t>. Sua jornada semântica, no entanto, é extraordinária: originária da medicina hipocrática como um desequilíbrio dos humores corporais, a melancolia foi subsequentemente reinterpretada na Idade Média como o pecado capital da acédia, um estado de apatia espiritual e negligência dos deveres religiosos.</w:t>
      </w:r>
    </w:p>
    <w:p w14:paraId="4348036A"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 xml:space="preserve">O Renascimento operou uma ressignificação profunda, resgatando-a dessa conotação moral e erigindo-a em atributo distintivo de intelectuais e artistas. Pensadores como Aristóteles, Marsílio </w:t>
      </w:r>
      <w:proofErr w:type="spellStart"/>
      <w:r>
        <w:rPr>
          <w:rFonts w:eastAsia="Segoe UI"/>
          <w:sz w:val="24"/>
          <w:shd w:val="clear" w:color="auto" w:fill="FFFFFF"/>
          <w:lang w:val="pt-BR"/>
        </w:rPr>
        <w:t>Ficino</w:t>
      </w:r>
      <w:proofErr w:type="spellEnd"/>
      <w:r>
        <w:rPr>
          <w:rFonts w:eastAsia="Segoe UI"/>
          <w:sz w:val="24"/>
          <w:shd w:val="clear" w:color="auto" w:fill="FFFFFF"/>
          <w:lang w:val="pt-BR"/>
        </w:rPr>
        <w:t xml:space="preserve"> e Albrecht Dürer foram fundamentais na construção dessa nova visão, forjando uma associação duradoura entre o temperamento melancólico e a profundidade criativa. É crucial notar que esta associação, embora culturalmente rica, não deve </w:t>
      </w:r>
      <w:proofErr w:type="spellStart"/>
      <w:r>
        <w:rPr>
          <w:rFonts w:eastAsia="Segoe UI"/>
          <w:sz w:val="24"/>
          <w:shd w:val="clear" w:color="auto" w:fill="FFFFFF"/>
          <w:lang w:val="pt-BR"/>
        </w:rPr>
        <w:t>romanticizar</w:t>
      </w:r>
      <w:proofErr w:type="spellEnd"/>
      <w:r>
        <w:rPr>
          <w:rFonts w:eastAsia="Segoe UI"/>
          <w:sz w:val="24"/>
          <w:shd w:val="clear" w:color="auto" w:fill="FFFFFF"/>
          <w:lang w:val="pt-BR"/>
        </w:rPr>
        <w:t xml:space="preserve"> o sofrimento real associado à melancolia clínica. A síntese definitiva dessa tradição multifacetada foi realizada por Robert Burton em sua Anatomia da Melancolia, uma obra enciclopédica que mapeou a condição em todas as suas dimensões — física, psicológica e espiritual —, apresentando-a não como uma mera patologia, mas como uma condição universal da experiência humana.</w:t>
      </w:r>
    </w:p>
    <w:p w14:paraId="3CB7CACE" w14:textId="77777777" w:rsidR="0003312E" w:rsidRDefault="0003312E">
      <w:pPr>
        <w:pStyle w:val="NormalWeb"/>
        <w:spacing w:beforeAutospacing="0" w:after="0" w:afterAutospacing="0" w:line="360" w:lineRule="auto"/>
        <w:ind w:firstLine="709"/>
        <w:jc w:val="both"/>
        <w:rPr>
          <w:rFonts w:eastAsia="Segoe UI"/>
          <w:sz w:val="24"/>
          <w:shd w:val="clear" w:color="auto" w:fill="FFFFFF"/>
          <w:lang w:val="pt-BR"/>
        </w:rPr>
      </w:pPr>
    </w:p>
    <w:p w14:paraId="71EC1DBF"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b/>
          <w:bCs/>
          <w:sz w:val="24"/>
          <w:shd w:val="clear" w:color="auto" w:fill="FFFFFF"/>
          <w:lang w:val="pt-BR"/>
        </w:rPr>
        <w:t>3. A Dimensão Neurocientífica: A Química da Ausência</w:t>
      </w:r>
    </w:p>
    <w:p w14:paraId="0A3E0B39"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O que os antigos chamavam de "bile negra" a neurociência moderna identifica padrões neuroquímicos associados à depressão melancólica. A depressão melancólica envolve alterações nos sistemas de serotonina e dopamina - relacionados à capacidade de sentir prazer - e uma hiperatividade do eixo de estresse, resultando em níveis cronicamente elevados de cortisol. Estudos de neuroimagem mostram padrões característicos: hiperatividade em áreas ligadas à ruminação e emoções negativas, combinada com hipoatividade em regiões responsáveis pela regulação emocional. Estes padrões representam correlatos neurais de uma condição complexa, não uma redução determinista a desequilíbrios químicos. Assim, a "cidade subterrânea" descrita por Burton encontra seu correlato neural em circuitos cerebrais específicos que mantêm o indivíduo preso em padrões de pensamento negativo.</w:t>
      </w:r>
    </w:p>
    <w:p w14:paraId="09412D4D" w14:textId="77777777" w:rsidR="0003312E" w:rsidRDefault="0003312E">
      <w:pPr>
        <w:pStyle w:val="NormalWeb"/>
        <w:spacing w:beforeAutospacing="0" w:after="0" w:afterAutospacing="0" w:line="360" w:lineRule="auto"/>
        <w:ind w:firstLine="709"/>
        <w:jc w:val="both"/>
        <w:rPr>
          <w:rFonts w:eastAsia="Segoe UI"/>
          <w:sz w:val="24"/>
          <w:shd w:val="clear" w:color="auto" w:fill="FFFFFF"/>
          <w:lang w:val="pt-BR"/>
        </w:rPr>
      </w:pPr>
    </w:p>
    <w:p w14:paraId="2473A12A"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b/>
          <w:bCs/>
          <w:sz w:val="24"/>
          <w:shd w:val="clear" w:color="auto" w:fill="FFFFFF"/>
          <w:lang w:val="pt-BR"/>
        </w:rPr>
        <w:t>4. A Dimensão Poético-Filosófica: A Sabedoria das Profundezas</w:t>
      </w:r>
    </w:p>
    <w:p w14:paraId="02FA98F6"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 xml:space="preserve">Para além da patologia, em diversas tradições culturais a melancolia foi reinterpretada como um espaço de introspecção profunda - uma "cidade subterrânea" da psique onde, mesmo no sofrimento, pode nascer uma forma peculiar de sabedoria. Desde Aristóteles, persiste a noção de que o temperamento melancólico está ligado à genialidade criativa e filosófica, embora esta ideia deva ser considerada com cuidado para não </w:t>
      </w:r>
      <w:proofErr w:type="spellStart"/>
      <w:r>
        <w:rPr>
          <w:rFonts w:eastAsia="Segoe UI"/>
          <w:sz w:val="24"/>
          <w:shd w:val="clear" w:color="auto" w:fill="FFFFFF"/>
          <w:lang w:val="pt-BR"/>
        </w:rPr>
        <w:t>romanticizar</w:t>
      </w:r>
      <w:proofErr w:type="spellEnd"/>
      <w:r>
        <w:rPr>
          <w:rFonts w:eastAsia="Segoe UI"/>
          <w:sz w:val="24"/>
          <w:shd w:val="clear" w:color="auto" w:fill="FFFFFF"/>
          <w:lang w:val="pt-BR"/>
        </w:rPr>
        <w:t xml:space="preserve"> o </w:t>
      </w:r>
      <w:r>
        <w:rPr>
          <w:rFonts w:eastAsia="Segoe UI"/>
          <w:sz w:val="24"/>
          <w:shd w:val="clear" w:color="auto" w:fill="FFFFFF"/>
          <w:lang w:val="pt-BR"/>
        </w:rPr>
        <w:lastRenderedPageBreak/>
        <w:t>sofrimento real. Burton, em sua obra monumental, legitimou esta complexidade, mostrando que a melancolia não é apenas uma condição a ser curada, mas um território humano a ser compreendido - um labirinto onde mesmo nas profundezas mais escuras podemos encontrar companhia e significado.</w:t>
      </w:r>
    </w:p>
    <w:p w14:paraId="62CABA88" w14:textId="77777777" w:rsidR="0003312E" w:rsidRDefault="0003312E">
      <w:pPr>
        <w:pStyle w:val="NormalWeb"/>
        <w:spacing w:beforeAutospacing="0" w:after="0" w:afterAutospacing="0" w:line="360" w:lineRule="auto"/>
        <w:ind w:firstLine="709"/>
        <w:jc w:val="both"/>
        <w:rPr>
          <w:rFonts w:eastAsia="Segoe UI"/>
          <w:sz w:val="24"/>
          <w:shd w:val="clear" w:color="auto" w:fill="FFFFFF"/>
          <w:lang w:val="pt-BR"/>
        </w:rPr>
      </w:pPr>
    </w:p>
    <w:p w14:paraId="1662D0D9"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b/>
          <w:bCs/>
          <w:sz w:val="24"/>
          <w:shd w:val="clear" w:color="auto" w:fill="FFFFFF"/>
          <w:lang w:val="pt-BR"/>
        </w:rPr>
        <w:t>Próximo: Os Limiares do Êxtase</w:t>
      </w:r>
    </w:p>
    <w:p w14:paraId="67F2CC5A"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Se Robert Burton dedicou sua vida a mapear as profundezas introspectivas da melancolia, seria Santa Teresa de Ávila quem, em um movimento quase oposto, cartografaria sua antítese experiencial: o êxtase. Enquanto a melancolia nos convida a um mergulho interior, a um afundar em nós mesmos, o êxtase nos propõe uma transcendência, uma dissolução dos limites do eu na experiência do divino. É assim que nossa exploração dos estados da mente revela sua capacidade mais extraordinária: a de nos permitir habitar extremos absolutos. Da bile negra que escurece a alma à claridade celestial que a ilumina, da sombra mais profunda à luz mais cegante, da introspecção solitária à transcendência unificadora, a mente humana demonstra ser um território de contrastes radicalmente opostos e igualmente humanos.</w:t>
      </w:r>
    </w:p>
    <w:p w14:paraId="68968963" w14:textId="77777777" w:rsidR="0003312E" w:rsidRDefault="00000000">
      <w:pPr>
        <w:rPr>
          <w:rFonts w:eastAsia="Segoe UI"/>
          <w:sz w:val="24"/>
          <w:shd w:val="clear" w:color="auto" w:fill="FFFFFF"/>
        </w:rPr>
      </w:pPr>
      <w:r>
        <w:rPr>
          <w:rFonts w:eastAsia="Segoe UI"/>
          <w:sz w:val="24"/>
          <w:shd w:val="clear" w:color="auto" w:fill="FFFFFF"/>
        </w:rPr>
        <w:br w:type="page"/>
      </w:r>
    </w:p>
    <w:tbl>
      <w:tblPr>
        <w:tblStyle w:val="Tabelacomgrade"/>
        <w:tblW w:w="850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Look w:val="04A0" w:firstRow="1" w:lastRow="0" w:firstColumn="1" w:lastColumn="0" w:noHBand="0" w:noVBand="1"/>
      </w:tblPr>
      <w:tblGrid>
        <w:gridCol w:w="4353"/>
        <w:gridCol w:w="4152"/>
      </w:tblGrid>
      <w:tr w:rsidR="0003312E" w14:paraId="099EC819" w14:textId="77777777">
        <w:trPr>
          <w:trHeight w:val="470"/>
        </w:trPr>
        <w:tc>
          <w:tcPr>
            <w:tcW w:w="8505" w:type="dxa"/>
            <w:gridSpan w:val="2"/>
            <w:tcBorders>
              <w:top w:val="nil"/>
              <w:left w:val="nil"/>
              <w:bottom w:val="nil"/>
              <w:right w:val="nil"/>
            </w:tcBorders>
          </w:tcPr>
          <w:p w14:paraId="72217BFF" w14:textId="77777777" w:rsidR="0003312E" w:rsidRDefault="00000000">
            <w:pPr>
              <w:pBdr>
                <w:left w:val="single" w:sz="80" w:space="4" w:color="7F7F7F" w:themeColor="text1" w:themeTint="80"/>
                <w:bottom w:val="single" w:sz="8" w:space="4" w:color="7F7F7F" w:themeColor="text1" w:themeTint="80"/>
              </w:pBdr>
              <w:spacing w:after="0" w:line="240" w:lineRule="auto"/>
              <w:rPr>
                <w:rFonts w:ascii="Times New Roman" w:eastAsia="SimSun" w:hAnsi="Times New Roman" w:cs="Times New Roman"/>
                <w:b/>
                <w:bCs/>
                <w:sz w:val="24"/>
                <w:szCs w:val="24"/>
              </w:rPr>
            </w:pPr>
            <w:r>
              <w:rPr>
                <w:rFonts w:ascii="Times New Roman" w:hAnsi="Times New Roman" w:cs="Times New Roman"/>
                <w:b/>
                <w:bCs/>
                <w:sz w:val="24"/>
                <w:szCs w:val="24"/>
              </w:rPr>
              <w:lastRenderedPageBreak/>
              <w:br w:type="page"/>
              <w:t xml:space="preserve">Capítulo </w:t>
            </w:r>
            <w:proofErr w:type="gramStart"/>
            <w:r>
              <w:rPr>
                <w:rFonts w:ascii="Times New Roman" w:hAnsi="Times New Roman" w:cs="Times New Roman"/>
                <w:b/>
                <w:bCs/>
                <w:sz w:val="24"/>
                <w:szCs w:val="24"/>
              </w:rPr>
              <w:t>5  -</w:t>
            </w:r>
            <w:proofErr w:type="gramEnd"/>
            <w:r>
              <w:rPr>
                <w:rFonts w:ascii="Times New Roman" w:hAnsi="Times New Roman" w:cs="Times New Roman"/>
                <w:b/>
                <w:bCs/>
                <w:sz w:val="24"/>
                <w:szCs w:val="24"/>
              </w:rPr>
              <w:t xml:space="preserve">  </w:t>
            </w:r>
            <w:r>
              <w:rPr>
                <w:rFonts w:ascii="Times New Roman" w:eastAsiaTheme="majorEastAsia" w:hAnsi="Times New Roman" w:cs="Times New Roman"/>
                <w:b/>
                <w:bCs/>
                <w:sz w:val="24"/>
                <w:szCs w:val="24"/>
              </w:rPr>
              <w:t>Êxtase: A Fusão do Eu com o Infinito</w:t>
            </w:r>
          </w:p>
        </w:tc>
      </w:tr>
      <w:tr w:rsidR="0003312E" w14:paraId="6D412414" w14:textId="77777777">
        <w:tc>
          <w:tcPr>
            <w:tcW w:w="4353" w:type="dxa"/>
            <w:tcBorders>
              <w:top w:val="nil"/>
              <w:left w:val="nil"/>
              <w:bottom w:val="nil"/>
              <w:right w:val="nil"/>
            </w:tcBorders>
          </w:tcPr>
          <w:p w14:paraId="2B6F0E45" w14:textId="77777777" w:rsidR="0003312E" w:rsidRDefault="00000000">
            <w:pPr>
              <w:spacing w:after="0" w:line="240" w:lineRule="auto"/>
              <w:jc w:val="center"/>
              <w:rPr>
                <w:rStyle w:val="Forte"/>
                <w:rFonts w:ascii="Times New Roman" w:eastAsia="Garamond" w:hAnsi="Times New Roman" w:cs="Times New Roman"/>
                <w:b w:val="0"/>
                <w:bCs w:val="0"/>
                <w:sz w:val="24"/>
                <w:szCs w:val="24"/>
              </w:rPr>
            </w:pPr>
            <w:r>
              <w:rPr>
                <w:rFonts w:ascii="Times New Roman" w:hAnsi="Times New Roman" w:cs="Times New Roman"/>
                <w:noProof/>
                <w:sz w:val="24"/>
                <w:szCs w:val="24"/>
              </w:rPr>
              <w:drawing>
                <wp:inline distT="0" distB="0" distL="0" distR="0" wp14:anchorId="382F2C22" wp14:editId="04BCF59D">
                  <wp:extent cx="1844040" cy="1844040"/>
                  <wp:effectExtent l="0" t="0" r="3810" b="3810"/>
                  <wp:docPr id="14285073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0739" name="Imagem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44040" cy="1844040"/>
                          </a:xfrm>
                          <a:prstGeom prst="rect">
                            <a:avLst/>
                          </a:prstGeom>
                          <a:noFill/>
                          <a:ln>
                            <a:noFill/>
                          </a:ln>
                        </pic:spPr>
                      </pic:pic>
                    </a:graphicData>
                  </a:graphic>
                </wp:inline>
              </w:drawing>
            </w:r>
          </w:p>
        </w:tc>
        <w:tc>
          <w:tcPr>
            <w:tcW w:w="4152" w:type="dxa"/>
            <w:tcBorders>
              <w:top w:val="nil"/>
              <w:left w:val="nil"/>
              <w:bottom w:val="nil"/>
              <w:right w:val="nil"/>
            </w:tcBorders>
          </w:tcPr>
          <w:p w14:paraId="5E8346D4" w14:textId="77777777" w:rsidR="0003312E" w:rsidRDefault="00000000">
            <w:pPr>
              <w:spacing w:after="0" w:line="240" w:lineRule="auto"/>
              <w:jc w:val="center"/>
              <w:rPr>
                <w:rStyle w:val="Forte"/>
                <w:rFonts w:ascii="Times New Roman" w:eastAsia="Garamond" w:hAnsi="Times New Roman" w:cs="Times New Roman"/>
                <w:b w:val="0"/>
                <w:bCs w:val="0"/>
                <w:sz w:val="24"/>
                <w:szCs w:val="24"/>
              </w:rPr>
            </w:pPr>
            <w:r>
              <w:rPr>
                <w:rFonts w:ascii="Times New Roman" w:eastAsia="SimSun" w:hAnsi="Times New Roman" w:cs="Times New Roman"/>
                <w:noProof/>
                <w:sz w:val="24"/>
                <w:szCs w:val="24"/>
              </w:rPr>
              <w:drawing>
                <wp:inline distT="0" distB="0" distL="114300" distR="114300" wp14:anchorId="602732AB" wp14:editId="5ACFB185">
                  <wp:extent cx="1224280" cy="1836420"/>
                  <wp:effectExtent l="0" t="0" r="10160" b="7620"/>
                  <wp:docPr id="31" name="Imagem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19" descr="IMG_256"/>
                          <pic:cNvPicPr>
                            <a:picLocks noChangeAspect="1"/>
                          </pic:cNvPicPr>
                        </pic:nvPicPr>
                        <pic:blipFill>
                          <a:blip r:embed="rId22"/>
                          <a:stretch>
                            <a:fillRect/>
                          </a:stretch>
                        </pic:blipFill>
                        <pic:spPr>
                          <a:xfrm>
                            <a:off x="0" y="0"/>
                            <a:ext cx="1231240" cy="1846359"/>
                          </a:xfrm>
                          <a:prstGeom prst="rect">
                            <a:avLst/>
                          </a:prstGeom>
                          <a:noFill/>
                          <a:ln w="9525">
                            <a:noFill/>
                          </a:ln>
                        </pic:spPr>
                      </pic:pic>
                    </a:graphicData>
                  </a:graphic>
                </wp:inline>
              </w:drawing>
            </w:r>
          </w:p>
        </w:tc>
      </w:tr>
      <w:tr w:rsidR="0003312E" w14:paraId="2567B2D0" w14:textId="77777777">
        <w:trPr>
          <w:trHeight w:val="476"/>
        </w:trPr>
        <w:tc>
          <w:tcPr>
            <w:tcW w:w="4353" w:type="dxa"/>
            <w:tcBorders>
              <w:top w:val="nil"/>
              <w:left w:val="nil"/>
              <w:bottom w:val="nil"/>
              <w:right w:val="nil"/>
            </w:tcBorders>
          </w:tcPr>
          <w:p w14:paraId="77121723" w14:textId="77777777" w:rsidR="0003312E" w:rsidRDefault="00000000">
            <w:pPr>
              <w:pStyle w:val="NormalWeb"/>
              <w:spacing w:beforeAutospacing="0" w:after="0" w:afterAutospacing="0" w:line="240" w:lineRule="auto"/>
              <w:rPr>
                <w:rStyle w:val="Forte"/>
                <w:rFonts w:eastAsia="Garamond"/>
                <w:b w:val="0"/>
                <w:bCs w:val="0"/>
                <w:sz w:val="24"/>
                <w:lang w:val="pt-BR"/>
              </w:rPr>
            </w:pPr>
            <w:r>
              <w:rPr>
                <w:rFonts w:eastAsiaTheme="majorEastAsia"/>
                <w:i/>
                <w:iCs/>
                <w:sz w:val="24"/>
                <w:lang w:val="pt-BR"/>
              </w:rPr>
              <w:t>Figura 5.1: A Flecha de Fogo: A Agonia e o Êxtase da Transcendência</w:t>
            </w:r>
          </w:p>
        </w:tc>
        <w:tc>
          <w:tcPr>
            <w:tcW w:w="4152" w:type="dxa"/>
            <w:tcBorders>
              <w:top w:val="nil"/>
              <w:left w:val="nil"/>
              <w:bottom w:val="nil"/>
              <w:right w:val="nil"/>
            </w:tcBorders>
          </w:tcPr>
          <w:p w14:paraId="0C0E8DEF" w14:textId="77777777" w:rsidR="0003312E" w:rsidRDefault="00000000">
            <w:pPr>
              <w:spacing w:after="0" w:line="240" w:lineRule="auto"/>
              <w:rPr>
                <w:rStyle w:val="Forte"/>
                <w:rFonts w:ascii="Times New Roman" w:eastAsia="Garamond" w:hAnsi="Times New Roman" w:cs="Times New Roman"/>
                <w:b w:val="0"/>
                <w:bCs w:val="0"/>
                <w:sz w:val="24"/>
                <w:szCs w:val="24"/>
              </w:rPr>
            </w:pPr>
            <w:r>
              <w:rPr>
                <w:rFonts w:ascii="Times New Roman" w:eastAsiaTheme="majorEastAsia" w:hAnsi="Times New Roman" w:cs="Times New Roman"/>
                <w:i/>
                <w:iCs/>
                <w:sz w:val="24"/>
                <w:szCs w:val="24"/>
              </w:rPr>
              <w:t xml:space="preserve">Figura 5.2: </w:t>
            </w:r>
            <w:r>
              <w:rPr>
                <w:rFonts w:ascii="Times New Roman" w:eastAsia="Segoe UI" w:hAnsi="Times New Roman" w:cs="Times New Roman"/>
                <w:sz w:val="24"/>
                <w:szCs w:val="24"/>
                <w:shd w:val="clear" w:color="auto" w:fill="FFFFFF"/>
              </w:rPr>
              <w:t>Santa Teresa de Ávila (1515 - 1582)</w:t>
            </w:r>
            <w:r>
              <w:rPr>
                <w:rFonts w:ascii="Times New Roman" w:eastAsiaTheme="majorEastAsia" w:hAnsi="Times New Roman" w:cs="Times New Roman"/>
                <w:i/>
                <w:iCs/>
                <w:sz w:val="24"/>
                <w:szCs w:val="24"/>
              </w:rPr>
              <w:t>: A Exploradora do Invisível</w:t>
            </w:r>
          </w:p>
        </w:tc>
      </w:tr>
    </w:tbl>
    <w:p w14:paraId="164396C1" w14:textId="77777777" w:rsidR="0003312E" w:rsidRDefault="0003312E">
      <w:pPr>
        <w:spacing w:after="0" w:line="360" w:lineRule="auto"/>
        <w:ind w:firstLine="709"/>
        <w:jc w:val="both"/>
        <w:rPr>
          <w:rFonts w:ascii="Times New Roman" w:eastAsia="Segoe UI" w:hAnsi="Times New Roman" w:cs="Times New Roman"/>
          <w:sz w:val="24"/>
          <w:szCs w:val="24"/>
          <w:shd w:val="clear" w:color="auto" w:fill="FFFFFF"/>
          <w:lang w:eastAsia="zh-CN"/>
        </w:rPr>
      </w:pPr>
    </w:p>
    <w:p w14:paraId="39FB1EA4"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Êxtase em Poucas Palavras: Quando o Eu se Desfaz</w:t>
      </w:r>
    </w:p>
    <w:p w14:paraId="71D339B7"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O êxtase representa um espectro de experiências caracterizadas pela dissolução temporária dos limites do self. Este capítulo explora suas múltiplas expressões - do místico ao secular - e as diversas lentes através das quais tem sido compreendido. O fenômeno do êxtase nos convida a explorar um dos territórios mais misteriosos da experiência humana, e para compreendê-lo, percorreremos quatro dimensões fundamentais que se complementam. A primeira nos revela sua origem etimológica, que significa literalmente "sair de si mesmo", já contendo em si a essência do que será desvendado. A segunda nos guia por sua rica jornada histórica, que parte das reflexões da filosofia grega e chega às profundezas do misticismo cristão e além. A terceira dimensão desvenda os correlatos neurocientíficos que tornam possível essa experiência tão singular de transcendência. E a quarta nos eleva ao plano filosófico, onde o êxtase se revela como um paradoxo fundamental da condição humana. São essas quatro perspectivas, cuidadosamente integradas na seção final, que nos oferecem uma compreensão profunda e multidimensional desse estado extraordinário de dissolução do eu.</w:t>
      </w:r>
    </w:p>
    <w:p w14:paraId="4F5A0DE7" w14:textId="77777777" w:rsidR="0003312E"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4CD42A76"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 xml:space="preserve">A Jornada da Palavra: De </w:t>
      </w:r>
      <w:proofErr w:type="spellStart"/>
      <w:r>
        <w:rPr>
          <w:rFonts w:ascii="Times New Roman" w:eastAsia="Segoe UI" w:hAnsi="Times New Roman" w:cs="Times New Roman"/>
          <w:b/>
          <w:bCs/>
          <w:sz w:val="24"/>
          <w:szCs w:val="24"/>
          <w:shd w:val="clear" w:color="auto" w:fill="FFFFFF"/>
          <w:lang w:eastAsia="zh-CN"/>
        </w:rPr>
        <w:t>Ékstasis</w:t>
      </w:r>
      <w:proofErr w:type="spellEnd"/>
      <w:r>
        <w:rPr>
          <w:rFonts w:ascii="Times New Roman" w:eastAsia="Segoe UI" w:hAnsi="Times New Roman" w:cs="Times New Roman"/>
          <w:b/>
          <w:bCs/>
          <w:sz w:val="24"/>
          <w:szCs w:val="24"/>
          <w:shd w:val="clear" w:color="auto" w:fill="FFFFFF"/>
          <w:lang w:eastAsia="zh-CN"/>
        </w:rPr>
        <w:t xml:space="preserve"> a Santa Teresa</w:t>
      </w:r>
    </w:p>
    <w:p w14:paraId="026DDF04"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 xml:space="preserve">Embora possamos traçar uma trajetória geral do êxtase como conceito filosófico para experiência religiosa e depois fenômeno científico, essas perspectivas frequentemente coexistiram e se influenciaram mutuamente. A história do êxtase percorre uma tensão entre sagrado e científico, entre graça divina e atividade cerebral. Na Grécia Antiga, </w:t>
      </w:r>
      <w:proofErr w:type="spellStart"/>
      <w:r>
        <w:rPr>
          <w:rFonts w:ascii="Times New Roman" w:eastAsia="Segoe UI" w:hAnsi="Times New Roman" w:cs="Times New Roman"/>
          <w:sz w:val="24"/>
          <w:szCs w:val="24"/>
          <w:shd w:val="clear" w:color="auto" w:fill="FFFFFF"/>
          <w:lang w:eastAsia="zh-CN"/>
        </w:rPr>
        <w:t>ékstasis</w:t>
      </w:r>
      <w:proofErr w:type="spellEnd"/>
      <w:r>
        <w:rPr>
          <w:rFonts w:ascii="Times New Roman" w:eastAsia="Segoe UI" w:hAnsi="Times New Roman" w:cs="Times New Roman"/>
          <w:sz w:val="24"/>
          <w:szCs w:val="24"/>
          <w:shd w:val="clear" w:color="auto" w:fill="FFFFFF"/>
          <w:lang w:eastAsia="zh-CN"/>
        </w:rPr>
        <w:t xml:space="preserve"> era conceito filosófico: para Platão, a alma transportava-se para contemplar as Formas Ideais; para Aristóteles, estava ligado ao furor poético e à melancolia genial. Neoplatônicos como Plotino </w:t>
      </w:r>
      <w:r>
        <w:rPr>
          <w:rFonts w:ascii="Times New Roman" w:eastAsia="Segoe UI" w:hAnsi="Times New Roman" w:cs="Times New Roman"/>
          <w:sz w:val="24"/>
          <w:szCs w:val="24"/>
          <w:shd w:val="clear" w:color="auto" w:fill="FFFFFF"/>
          <w:lang w:eastAsia="zh-CN"/>
        </w:rPr>
        <w:lastRenderedPageBreak/>
        <w:t>viam o êxtase como ápice da existência, a união da alma individual com o Uno, dissolvendo toda dualidade.</w:t>
      </w:r>
    </w:p>
    <w:p w14:paraId="4C115061"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O cristianismo primitivo absorveu e adaptou essa ideia, transformando o êxtase em um dom divino, um arrebatamento em que Deus tomava a alma para Si, como no caminho de Damasco de São Paulo. Mas foi Santa Teresa de Ávila quem elevou a tradição a seu ápice literário e psicológico. Santa Teresa desenvolveu sua teologia mística em um contexto histórico complexo - a Contrarreforma espanhola e a vigilância da Inquisição - o que influenciou tanto o conteúdo quanto a forma como descreveu suas experiências extáticas. Em O Livro da Vida e O Castelo Interior, descreveu os estágios da oração que conduzem ao êxtase final, a "união mística", com precisão quase clínica, detalhando sensações físicas - calor, levitação, uma "doce ferida" - e efeitos psicológicos, como perda dos sentidos, suspensão do tempo e paz inefável. Seu êxtase era corporal, concreto, uma experiência que simultaneamente queimava e curava.</w:t>
      </w:r>
    </w:p>
    <w:p w14:paraId="4F456E5C"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 xml:space="preserve">A ciência moderna, a partir do século XIX, iniciou a secularização do êxtase. A psiquiatria inicialmente tentou </w:t>
      </w:r>
      <w:proofErr w:type="spellStart"/>
      <w:r>
        <w:rPr>
          <w:rFonts w:ascii="Times New Roman" w:eastAsia="Segoe UI" w:hAnsi="Times New Roman" w:cs="Times New Roman"/>
          <w:sz w:val="24"/>
          <w:szCs w:val="24"/>
          <w:shd w:val="clear" w:color="auto" w:fill="FFFFFF"/>
          <w:lang w:eastAsia="zh-CN"/>
        </w:rPr>
        <w:t>patologizá-lo</w:t>
      </w:r>
      <w:proofErr w:type="spellEnd"/>
      <w:r>
        <w:rPr>
          <w:rFonts w:ascii="Times New Roman" w:eastAsia="Segoe UI" w:hAnsi="Times New Roman" w:cs="Times New Roman"/>
          <w:sz w:val="24"/>
          <w:szCs w:val="24"/>
          <w:shd w:val="clear" w:color="auto" w:fill="FFFFFF"/>
          <w:lang w:eastAsia="zh-CN"/>
        </w:rPr>
        <w:t>, associando-o à histeria ou à epilepsia. William James, em As Variedades da Experiência Religiosa, reivindicou-o como estado legítimo de consciência. Hoje, a neurociência da espiritualidade mapeia cérebros de freiras em oração ou meditadores experientes, buscando as assinaturas neurais desse "estar fora de si". Além das tradições religiosas, o êxtase manifesta-se em experiências seculares como estados de '</w:t>
      </w:r>
      <w:proofErr w:type="spellStart"/>
      <w:r>
        <w:rPr>
          <w:rFonts w:ascii="Times New Roman" w:eastAsia="Segoe UI" w:hAnsi="Times New Roman" w:cs="Times New Roman"/>
          <w:sz w:val="24"/>
          <w:szCs w:val="24"/>
          <w:shd w:val="clear" w:color="auto" w:fill="FFFFFF"/>
          <w:lang w:eastAsia="zh-CN"/>
        </w:rPr>
        <w:t>flow</w:t>
      </w:r>
      <w:proofErr w:type="spellEnd"/>
      <w:r>
        <w:rPr>
          <w:rFonts w:ascii="Times New Roman" w:eastAsia="Segoe UI" w:hAnsi="Times New Roman" w:cs="Times New Roman"/>
          <w:sz w:val="24"/>
          <w:szCs w:val="24"/>
          <w:shd w:val="clear" w:color="auto" w:fill="FFFFFF"/>
          <w:lang w:eastAsia="zh-CN"/>
        </w:rPr>
        <w:t>' criativo, performances atléticas de pico, e momentos de profunda conexão estética.</w:t>
      </w:r>
    </w:p>
    <w:p w14:paraId="35A79717" w14:textId="77777777" w:rsidR="0003312E"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795C14C2"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Quadro 5.1 - A Evolução do Êxtase: Do Divino ao Neural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04"/>
        <w:gridCol w:w="2131"/>
        <w:gridCol w:w="5026"/>
      </w:tblGrid>
      <w:tr w:rsidR="0003312E" w14:paraId="190677BF" w14:textId="77777777">
        <w:trPr>
          <w:tblHeader/>
        </w:trPr>
        <w:tc>
          <w:tcPr>
            <w:tcW w:w="0" w:type="auto"/>
            <w:tcMar>
              <w:top w:w="150" w:type="dxa"/>
              <w:left w:w="0" w:type="dxa"/>
              <w:bottom w:w="150" w:type="dxa"/>
              <w:right w:w="240" w:type="dxa"/>
            </w:tcMar>
            <w:vAlign w:val="center"/>
          </w:tcPr>
          <w:p w14:paraId="5C955AA6"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Época</w:t>
            </w:r>
          </w:p>
        </w:tc>
        <w:tc>
          <w:tcPr>
            <w:tcW w:w="0" w:type="auto"/>
            <w:tcMar>
              <w:top w:w="150" w:type="dxa"/>
              <w:left w:w="240" w:type="dxa"/>
              <w:bottom w:w="150" w:type="dxa"/>
              <w:right w:w="240" w:type="dxa"/>
            </w:tcMar>
            <w:vAlign w:val="center"/>
          </w:tcPr>
          <w:p w14:paraId="68C37C07"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Marco</w:t>
            </w:r>
          </w:p>
        </w:tc>
        <w:tc>
          <w:tcPr>
            <w:tcW w:w="0" w:type="auto"/>
            <w:tcMar>
              <w:top w:w="150" w:type="dxa"/>
              <w:left w:w="240" w:type="dxa"/>
              <w:bottom w:w="150" w:type="dxa"/>
              <w:right w:w="240" w:type="dxa"/>
            </w:tcMar>
            <w:vAlign w:val="center"/>
          </w:tcPr>
          <w:p w14:paraId="2E79FDB3"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Significado e Impacto</w:t>
            </w:r>
          </w:p>
        </w:tc>
      </w:tr>
      <w:tr w:rsidR="0003312E" w14:paraId="472EC89B" w14:textId="77777777">
        <w:tc>
          <w:tcPr>
            <w:tcW w:w="0" w:type="auto"/>
            <w:tcMar>
              <w:top w:w="150" w:type="dxa"/>
              <w:left w:w="0" w:type="dxa"/>
              <w:bottom w:w="150" w:type="dxa"/>
              <w:right w:w="240" w:type="dxa"/>
            </w:tcMar>
            <w:vAlign w:val="center"/>
          </w:tcPr>
          <w:p w14:paraId="282CAB50"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Grécia Antiga (Filosofia)</w:t>
            </w:r>
          </w:p>
        </w:tc>
        <w:tc>
          <w:tcPr>
            <w:tcW w:w="0" w:type="auto"/>
            <w:tcMar>
              <w:top w:w="150" w:type="dxa"/>
              <w:left w:w="240" w:type="dxa"/>
              <w:bottom w:w="150" w:type="dxa"/>
              <w:right w:w="240" w:type="dxa"/>
            </w:tcMar>
            <w:vAlign w:val="center"/>
          </w:tcPr>
          <w:p w14:paraId="54B4D622"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proofErr w:type="spellStart"/>
            <w:r>
              <w:rPr>
                <w:rFonts w:ascii="Times New Roman" w:eastAsia="Segoe UI" w:hAnsi="Times New Roman" w:cs="Times New Roman"/>
                <w:sz w:val="20"/>
                <w:szCs w:val="20"/>
                <w:shd w:val="clear" w:color="auto" w:fill="FFFFFF"/>
                <w:lang w:eastAsia="zh-CN"/>
              </w:rPr>
              <w:t>ékstasis</w:t>
            </w:r>
            <w:proofErr w:type="spellEnd"/>
            <w:r>
              <w:rPr>
                <w:rFonts w:ascii="Times New Roman" w:eastAsia="Segoe UI" w:hAnsi="Times New Roman" w:cs="Times New Roman"/>
                <w:sz w:val="20"/>
                <w:szCs w:val="20"/>
                <w:shd w:val="clear" w:color="auto" w:fill="FFFFFF"/>
                <w:lang w:eastAsia="zh-CN"/>
              </w:rPr>
              <w:t xml:space="preserve"> = "deslocamento"</w:t>
            </w:r>
          </w:p>
        </w:tc>
        <w:tc>
          <w:tcPr>
            <w:tcW w:w="0" w:type="auto"/>
            <w:tcMar>
              <w:top w:w="150" w:type="dxa"/>
              <w:left w:w="240" w:type="dxa"/>
              <w:bottom w:w="150" w:type="dxa"/>
              <w:right w:w="0" w:type="dxa"/>
            </w:tcMar>
            <w:vAlign w:val="center"/>
          </w:tcPr>
          <w:p w14:paraId="3887A76D"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Em Platão, transporte da alma para contemplar as Formas Ideais; em Aristóteles, ligado ao furor poético e à genialidade. Experiência filosófica, não religiosa.</w:t>
            </w:r>
          </w:p>
        </w:tc>
      </w:tr>
      <w:tr w:rsidR="0003312E" w14:paraId="73EF7A76" w14:textId="77777777">
        <w:tc>
          <w:tcPr>
            <w:tcW w:w="0" w:type="auto"/>
            <w:tcMar>
              <w:top w:w="150" w:type="dxa"/>
              <w:left w:w="0" w:type="dxa"/>
              <w:bottom w:w="150" w:type="dxa"/>
              <w:right w:w="240" w:type="dxa"/>
            </w:tcMar>
            <w:vAlign w:val="center"/>
          </w:tcPr>
          <w:p w14:paraId="68D2AB23"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Helenismo/Roma</w:t>
            </w:r>
          </w:p>
        </w:tc>
        <w:tc>
          <w:tcPr>
            <w:tcW w:w="0" w:type="auto"/>
            <w:tcMar>
              <w:top w:w="150" w:type="dxa"/>
              <w:left w:w="240" w:type="dxa"/>
              <w:bottom w:w="150" w:type="dxa"/>
              <w:right w:w="240" w:type="dxa"/>
            </w:tcMar>
            <w:vAlign w:val="center"/>
          </w:tcPr>
          <w:p w14:paraId="74FC4CD5"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Neoplatonismo (Plotino)</w:t>
            </w:r>
          </w:p>
        </w:tc>
        <w:tc>
          <w:tcPr>
            <w:tcW w:w="0" w:type="auto"/>
            <w:tcMar>
              <w:top w:w="150" w:type="dxa"/>
              <w:left w:w="240" w:type="dxa"/>
              <w:bottom w:w="150" w:type="dxa"/>
              <w:right w:w="0" w:type="dxa"/>
            </w:tcMar>
            <w:vAlign w:val="center"/>
          </w:tcPr>
          <w:p w14:paraId="0E1C6F88"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Êxtase como união da alma com o Uno, transcendendo dualidades. Dissolução do eu em realidade superior.</w:t>
            </w:r>
          </w:p>
        </w:tc>
      </w:tr>
      <w:tr w:rsidR="0003312E" w14:paraId="7F31837F" w14:textId="77777777">
        <w:tc>
          <w:tcPr>
            <w:tcW w:w="0" w:type="auto"/>
            <w:tcMar>
              <w:top w:w="150" w:type="dxa"/>
              <w:left w:w="0" w:type="dxa"/>
              <w:bottom w:w="150" w:type="dxa"/>
              <w:right w:w="240" w:type="dxa"/>
            </w:tcMar>
            <w:vAlign w:val="center"/>
          </w:tcPr>
          <w:p w14:paraId="4539FAB3"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Cristianismo Primitivo</w:t>
            </w:r>
          </w:p>
        </w:tc>
        <w:tc>
          <w:tcPr>
            <w:tcW w:w="0" w:type="auto"/>
            <w:tcMar>
              <w:top w:w="150" w:type="dxa"/>
              <w:left w:w="240" w:type="dxa"/>
              <w:bottom w:w="150" w:type="dxa"/>
              <w:right w:w="240" w:type="dxa"/>
            </w:tcMar>
            <w:vAlign w:val="center"/>
          </w:tcPr>
          <w:p w14:paraId="5C538C5A"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proofErr w:type="spellStart"/>
            <w:r>
              <w:rPr>
                <w:rFonts w:ascii="Times New Roman" w:eastAsia="Segoe UI" w:hAnsi="Times New Roman" w:cs="Times New Roman"/>
                <w:sz w:val="20"/>
                <w:szCs w:val="20"/>
                <w:shd w:val="clear" w:color="auto" w:fill="FFFFFF"/>
                <w:lang w:eastAsia="zh-CN"/>
              </w:rPr>
              <w:t>Exstasis</w:t>
            </w:r>
            <w:proofErr w:type="spellEnd"/>
            <w:r>
              <w:rPr>
                <w:rFonts w:ascii="Times New Roman" w:eastAsia="Segoe UI" w:hAnsi="Times New Roman" w:cs="Times New Roman"/>
                <w:sz w:val="20"/>
                <w:szCs w:val="20"/>
                <w:shd w:val="clear" w:color="auto" w:fill="FFFFFF"/>
                <w:lang w:eastAsia="zh-CN"/>
              </w:rPr>
              <w:t xml:space="preserve"> (latim)</w:t>
            </w:r>
          </w:p>
        </w:tc>
        <w:tc>
          <w:tcPr>
            <w:tcW w:w="0" w:type="auto"/>
            <w:tcMar>
              <w:top w:w="150" w:type="dxa"/>
              <w:left w:w="240" w:type="dxa"/>
              <w:bottom w:w="150" w:type="dxa"/>
              <w:right w:w="0" w:type="dxa"/>
            </w:tcMar>
            <w:vAlign w:val="center"/>
          </w:tcPr>
          <w:p w14:paraId="0C3C450C"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Descreve experiências visionárias. Arrebatamento divino, Deus "toma" a alma para Si (São Paulo em Damasco).</w:t>
            </w:r>
          </w:p>
        </w:tc>
      </w:tr>
      <w:tr w:rsidR="0003312E" w14:paraId="62FBE7BA" w14:textId="77777777">
        <w:tc>
          <w:tcPr>
            <w:tcW w:w="0" w:type="auto"/>
            <w:tcMar>
              <w:top w:w="150" w:type="dxa"/>
              <w:left w:w="0" w:type="dxa"/>
              <w:bottom w:w="150" w:type="dxa"/>
              <w:right w:w="240" w:type="dxa"/>
            </w:tcMar>
            <w:vAlign w:val="center"/>
          </w:tcPr>
          <w:p w14:paraId="298E8A70"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Idade Média</w:t>
            </w:r>
          </w:p>
        </w:tc>
        <w:tc>
          <w:tcPr>
            <w:tcW w:w="0" w:type="auto"/>
            <w:tcMar>
              <w:top w:w="150" w:type="dxa"/>
              <w:left w:w="240" w:type="dxa"/>
              <w:bottom w:w="150" w:type="dxa"/>
              <w:right w:w="240" w:type="dxa"/>
            </w:tcMar>
            <w:vAlign w:val="center"/>
          </w:tcPr>
          <w:p w14:paraId="5C61A25C"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Misticismo cristão</w:t>
            </w:r>
          </w:p>
        </w:tc>
        <w:tc>
          <w:tcPr>
            <w:tcW w:w="0" w:type="auto"/>
            <w:tcMar>
              <w:top w:w="150" w:type="dxa"/>
              <w:left w:w="240" w:type="dxa"/>
              <w:bottom w:w="150" w:type="dxa"/>
              <w:right w:w="0" w:type="dxa"/>
            </w:tcMar>
            <w:vAlign w:val="center"/>
          </w:tcPr>
          <w:p w14:paraId="289E7BB0"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 xml:space="preserve">União mística com Deus como ápice da experiência religiosa. Exemplos: Santa </w:t>
            </w:r>
            <w:proofErr w:type="spellStart"/>
            <w:r>
              <w:rPr>
                <w:rFonts w:ascii="Times New Roman" w:eastAsia="Segoe UI" w:hAnsi="Times New Roman" w:cs="Times New Roman"/>
                <w:sz w:val="20"/>
                <w:szCs w:val="20"/>
                <w:shd w:val="clear" w:color="auto" w:fill="FFFFFF"/>
                <w:lang w:eastAsia="zh-CN"/>
              </w:rPr>
              <w:t>Hildegarda</w:t>
            </w:r>
            <w:proofErr w:type="spellEnd"/>
            <w:r>
              <w:rPr>
                <w:rFonts w:ascii="Times New Roman" w:eastAsia="Segoe UI" w:hAnsi="Times New Roman" w:cs="Times New Roman"/>
                <w:sz w:val="20"/>
                <w:szCs w:val="20"/>
                <w:shd w:val="clear" w:color="auto" w:fill="FFFFFF"/>
                <w:lang w:eastAsia="zh-CN"/>
              </w:rPr>
              <w:t xml:space="preserve"> de Bingen, Mestre </w:t>
            </w:r>
            <w:proofErr w:type="spellStart"/>
            <w:r>
              <w:rPr>
                <w:rFonts w:ascii="Times New Roman" w:eastAsia="Segoe UI" w:hAnsi="Times New Roman" w:cs="Times New Roman"/>
                <w:sz w:val="20"/>
                <w:szCs w:val="20"/>
                <w:shd w:val="clear" w:color="auto" w:fill="FFFFFF"/>
                <w:lang w:eastAsia="zh-CN"/>
              </w:rPr>
              <w:t>Eckhart</w:t>
            </w:r>
            <w:proofErr w:type="spellEnd"/>
            <w:r>
              <w:rPr>
                <w:rFonts w:ascii="Times New Roman" w:eastAsia="Segoe UI" w:hAnsi="Times New Roman" w:cs="Times New Roman"/>
                <w:sz w:val="20"/>
                <w:szCs w:val="20"/>
                <w:shd w:val="clear" w:color="auto" w:fill="FFFFFF"/>
                <w:lang w:eastAsia="zh-CN"/>
              </w:rPr>
              <w:t>.</w:t>
            </w:r>
          </w:p>
        </w:tc>
      </w:tr>
      <w:tr w:rsidR="0003312E" w14:paraId="123C82DF" w14:textId="77777777">
        <w:tc>
          <w:tcPr>
            <w:tcW w:w="0" w:type="auto"/>
            <w:tcMar>
              <w:top w:w="150" w:type="dxa"/>
              <w:left w:w="0" w:type="dxa"/>
              <w:bottom w:w="150" w:type="dxa"/>
              <w:right w:w="240" w:type="dxa"/>
            </w:tcMar>
            <w:vAlign w:val="center"/>
          </w:tcPr>
          <w:p w14:paraId="74F5ADC6"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Século XVI</w:t>
            </w:r>
          </w:p>
        </w:tc>
        <w:tc>
          <w:tcPr>
            <w:tcW w:w="0" w:type="auto"/>
            <w:tcMar>
              <w:top w:w="150" w:type="dxa"/>
              <w:left w:w="240" w:type="dxa"/>
              <w:bottom w:w="150" w:type="dxa"/>
              <w:right w:w="240" w:type="dxa"/>
            </w:tcMar>
            <w:vAlign w:val="center"/>
          </w:tcPr>
          <w:p w14:paraId="101871A7"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Santa Teresa de Ávila</w:t>
            </w:r>
          </w:p>
        </w:tc>
        <w:tc>
          <w:tcPr>
            <w:tcW w:w="0" w:type="auto"/>
            <w:tcMar>
              <w:top w:w="150" w:type="dxa"/>
              <w:left w:w="240" w:type="dxa"/>
              <w:bottom w:w="150" w:type="dxa"/>
              <w:right w:w="0" w:type="dxa"/>
            </w:tcMar>
            <w:vAlign w:val="center"/>
          </w:tcPr>
          <w:p w14:paraId="14CCDCBA"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O Castelo Interior: estágios do êxtase, sensações físicas e efeitos espirituais, combinando teologia e fenomenologia.</w:t>
            </w:r>
          </w:p>
        </w:tc>
      </w:tr>
      <w:tr w:rsidR="0003312E" w14:paraId="3460C351" w14:textId="77777777">
        <w:tc>
          <w:tcPr>
            <w:tcW w:w="0" w:type="auto"/>
            <w:tcMar>
              <w:top w:w="150" w:type="dxa"/>
              <w:left w:w="0" w:type="dxa"/>
              <w:bottom w:w="150" w:type="dxa"/>
              <w:right w:w="240" w:type="dxa"/>
            </w:tcMar>
            <w:vAlign w:val="center"/>
          </w:tcPr>
          <w:p w14:paraId="36755A70"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lastRenderedPageBreak/>
              <w:t>Século XIX</w:t>
            </w:r>
          </w:p>
        </w:tc>
        <w:tc>
          <w:tcPr>
            <w:tcW w:w="0" w:type="auto"/>
            <w:tcMar>
              <w:top w:w="150" w:type="dxa"/>
              <w:left w:w="240" w:type="dxa"/>
              <w:bottom w:w="150" w:type="dxa"/>
              <w:right w:w="240" w:type="dxa"/>
            </w:tcMar>
            <w:vAlign w:val="center"/>
          </w:tcPr>
          <w:p w14:paraId="4F1B41B8"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William James</w:t>
            </w:r>
          </w:p>
        </w:tc>
        <w:tc>
          <w:tcPr>
            <w:tcW w:w="0" w:type="auto"/>
            <w:tcMar>
              <w:top w:w="150" w:type="dxa"/>
              <w:left w:w="240" w:type="dxa"/>
              <w:bottom w:w="150" w:type="dxa"/>
              <w:right w:w="0" w:type="dxa"/>
            </w:tcMar>
            <w:vAlign w:val="center"/>
          </w:tcPr>
          <w:p w14:paraId="63B5112C"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Êxtase como estado de consciência válido, independente da origem divina. Abordagem científica e fenomenológica.</w:t>
            </w:r>
          </w:p>
        </w:tc>
      </w:tr>
      <w:tr w:rsidR="0003312E" w14:paraId="6AF692A8" w14:textId="77777777">
        <w:tc>
          <w:tcPr>
            <w:tcW w:w="0" w:type="auto"/>
            <w:tcMar>
              <w:top w:w="150" w:type="dxa"/>
              <w:left w:w="0" w:type="dxa"/>
              <w:bottom w:w="150" w:type="dxa"/>
              <w:right w:w="240" w:type="dxa"/>
            </w:tcMar>
            <w:vAlign w:val="center"/>
          </w:tcPr>
          <w:p w14:paraId="7F31B757"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Século XXI</w:t>
            </w:r>
          </w:p>
        </w:tc>
        <w:tc>
          <w:tcPr>
            <w:tcW w:w="0" w:type="auto"/>
            <w:tcMar>
              <w:top w:w="150" w:type="dxa"/>
              <w:left w:w="240" w:type="dxa"/>
              <w:bottom w:w="150" w:type="dxa"/>
              <w:right w:w="240" w:type="dxa"/>
            </w:tcMar>
            <w:vAlign w:val="center"/>
          </w:tcPr>
          <w:p w14:paraId="3153784C"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Neurociência da espiritualidade</w:t>
            </w:r>
          </w:p>
        </w:tc>
        <w:tc>
          <w:tcPr>
            <w:tcW w:w="0" w:type="auto"/>
            <w:tcMar>
              <w:top w:w="150" w:type="dxa"/>
              <w:left w:w="240" w:type="dxa"/>
              <w:bottom w:w="150" w:type="dxa"/>
              <w:right w:w="0" w:type="dxa"/>
            </w:tcMar>
            <w:vAlign w:val="center"/>
          </w:tcPr>
          <w:p w14:paraId="6A3AC077"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Neuroimagem investiga correlatos neurais em experiências extáticas religiosas e seculares, expandindo para tradições não-ocidentais</w:t>
            </w:r>
          </w:p>
        </w:tc>
      </w:tr>
    </w:tbl>
    <w:p w14:paraId="106539C9" w14:textId="77777777" w:rsidR="0003312E"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16668626"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Esta trajetória, porém, não confina o êxtase aos altares e claustros. Longe de ser um privilégio do sagrado, a experiência extática insurge-se em uma miríade de formas seculares. O estado de 'fluxo' (</w:t>
      </w:r>
      <w:proofErr w:type="spellStart"/>
      <w:r>
        <w:rPr>
          <w:rFonts w:ascii="Times New Roman" w:eastAsia="Segoe UI" w:hAnsi="Times New Roman" w:cs="Times New Roman"/>
          <w:i/>
          <w:iCs/>
          <w:sz w:val="24"/>
          <w:szCs w:val="24"/>
          <w:shd w:val="clear" w:color="auto" w:fill="FFFFFF"/>
          <w:lang w:eastAsia="zh-CN"/>
        </w:rPr>
        <w:t>flow</w:t>
      </w:r>
      <w:proofErr w:type="spellEnd"/>
      <w:r>
        <w:rPr>
          <w:rFonts w:ascii="Times New Roman" w:eastAsia="Segoe UI" w:hAnsi="Times New Roman" w:cs="Times New Roman"/>
          <w:sz w:val="24"/>
          <w:szCs w:val="24"/>
          <w:shd w:val="clear" w:color="auto" w:fill="FFFFFF"/>
          <w:lang w:eastAsia="zh-CN"/>
        </w:rPr>
        <w:t>) do artista absorto em sua criação, o ápice de performance do atleta em sua zona de excelência, o arrebatamento diante de uma obra de arte ou da grandiosidade da natureza - todos são ecos modernos da mesma capacidade neural de transcender o self ordinário. Compreender o êxtase, portanto, é mapear uma faculdade fundamental da mente humana, que encontra expressão tanto na contemplação do divino quanto na mais intensa experiência humana.</w:t>
      </w:r>
    </w:p>
    <w:p w14:paraId="76352722" w14:textId="77777777" w:rsidR="0003312E"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702B408E"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Em Essência: as Quatro Dimensões do Êxtase</w:t>
      </w:r>
    </w:p>
    <w:p w14:paraId="46587581"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1. A Dimensão Etimológica: O Deslocamento do Ser</w:t>
      </w:r>
    </w:p>
    <w:p w14:paraId="4AA0C1AF"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 xml:space="preserve">A própria palavra "êxtase" contém em si a definição precisa do fenômeno: vem do grego </w:t>
      </w:r>
      <w:proofErr w:type="spellStart"/>
      <w:r>
        <w:rPr>
          <w:rFonts w:ascii="Times New Roman" w:eastAsia="Segoe UI" w:hAnsi="Times New Roman" w:cs="Times New Roman"/>
          <w:sz w:val="24"/>
          <w:szCs w:val="24"/>
          <w:shd w:val="clear" w:color="auto" w:fill="FFFFFF"/>
          <w:lang w:eastAsia="zh-CN"/>
        </w:rPr>
        <w:t>ékstasis</w:t>
      </w:r>
      <w:proofErr w:type="spellEnd"/>
      <w:r>
        <w:rPr>
          <w:rFonts w:ascii="Times New Roman" w:eastAsia="Segoe UI" w:hAnsi="Times New Roman" w:cs="Times New Roman"/>
          <w:sz w:val="24"/>
          <w:szCs w:val="24"/>
          <w:shd w:val="clear" w:color="auto" w:fill="FFFFFF"/>
          <w:lang w:eastAsia="zh-CN"/>
        </w:rPr>
        <w:t>, que significa literalmente "sair de onde se está" ou "estar fora de si". Esta origem linguística captura perfeitamente a experiência central do êxtase - um rompimento dos limites habituais do eu, um deslocamento fundamental da consciência que deixa para trás a identidade pessoal estável. Não se trata de uma metáfora, mas da descrição exata de um estado em que a pessoa realmente sente que transcende seus próprios limites.</w:t>
      </w:r>
    </w:p>
    <w:p w14:paraId="14333F07" w14:textId="77777777" w:rsidR="0003312E"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0D05AAF7"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2. A Dimensão Histórico-Clínica: Da Filosofia à Neurociência</w:t>
      </w:r>
    </w:p>
    <w:p w14:paraId="2D7C7AC8"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 xml:space="preserve">A compreensão do êxtase percorreu um caminho fascinante: começou como conceito filosófico na Grécia Antiga, transformou-se em experiência religiosa no cristianismo, e hoje é estudado como fenômeno neurocientífico. Santa Teresa de Ávila representa um marco crucial nesta jornada, pois suas descrições detalhadas da "união mística" combinavam precisão fenomenológica com profundidade espiritual. No século XX, William James deu o passo decisivo ao defender o êxtase como estado legítimo de consciência, abrindo caminho para que a ciência moderna pudesse estudá-lo sem reduzi-lo à patologia. Experiências extáticas similares </w:t>
      </w:r>
      <w:r>
        <w:rPr>
          <w:rFonts w:ascii="Times New Roman" w:eastAsia="Segoe UI" w:hAnsi="Times New Roman" w:cs="Times New Roman"/>
          <w:sz w:val="24"/>
          <w:szCs w:val="24"/>
          <w:shd w:val="clear" w:color="auto" w:fill="FFFFFF"/>
          <w:lang w:eastAsia="zh-CN"/>
        </w:rPr>
        <w:lastRenderedPageBreak/>
        <w:t xml:space="preserve">são documentadas em diversas tradições culturais, desde o </w:t>
      </w:r>
      <w:proofErr w:type="spellStart"/>
      <w:r>
        <w:rPr>
          <w:rFonts w:ascii="Times New Roman" w:eastAsia="Segoe UI" w:hAnsi="Times New Roman" w:cs="Times New Roman"/>
          <w:sz w:val="24"/>
          <w:szCs w:val="24"/>
          <w:shd w:val="clear" w:color="auto" w:fill="FFFFFF"/>
          <w:lang w:eastAsia="zh-CN"/>
        </w:rPr>
        <w:t>samadhi</w:t>
      </w:r>
      <w:proofErr w:type="spellEnd"/>
      <w:r>
        <w:rPr>
          <w:rFonts w:ascii="Times New Roman" w:eastAsia="Segoe UI" w:hAnsi="Times New Roman" w:cs="Times New Roman"/>
          <w:sz w:val="24"/>
          <w:szCs w:val="24"/>
          <w:shd w:val="clear" w:color="auto" w:fill="FFFFFF"/>
          <w:lang w:eastAsia="zh-CN"/>
        </w:rPr>
        <w:t xml:space="preserve"> no yoga até estados de possessão em tradições africanas e afro-diaspóricas.</w:t>
      </w:r>
    </w:p>
    <w:p w14:paraId="1B7F1536" w14:textId="77777777" w:rsidR="0003312E"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755D8830"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3. A Dimensão Neurocientífica: A Biologia da Transcendência</w:t>
      </w:r>
    </w:p>
    <w:p w14:paraId="203E95E5"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A neurociência contemporânea identifica padrões de atividade cerebral consistentemente associados a experiências de "sair de si". Estudos com neuroimagem mostram uma redução significativa da atividade no lobo parietal posterior - região crucial para manter nosso senso de limites corporais e a distinção entre self e mundo. Esta desativação neural está correlacionada com a sensação de dissolução do ego descrita pelos místicos: literalmente, o cérebro perde temporariamente sua capacidade de manter os limites do eu. Ao mesmo tempo, observa-se uma hiperatividade no sistema límbico, responsável pelas emoções intensas que caracterizam essas experiências transcendentais. Embora a neurociência identifique esses padrões, a relação entre correlatos neurais e experiência subjetiva permanece objeto de debate.</w:t>
      </w:r>
    </w:p>
    <w:p w14:paraId="1C0940CB" w14:textId="77777777" w:rsidR="0003312E"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2A0773FB"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4. A Dimensão Poético-Filosófica: O Paradoxo da Transcendência</w:t>
      </w:r>
    </w:p>
    <w:p w14:paraId="7AF91B8D"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 xml:space="preserve">No plano filosófico, o êxtase representa um dos paradoxos mais profundos da experiência humana: a dissolução do self individual conduz à mais plena sensação de vitalidade e conexão. Como mostra magistralmente a escultura de Bernini, O Êxtase de Santa Teresa, este estado combina agonia e prazer, morte do ego e renascimento espiritual. Esta dimensão paradoxal do êxtase - onde se perde o self para encontrar algo maior - ecoa não apenas nas experiências místicas, mas também nos estados de fluxo criativo, no amor intenso e na contemplação profunda, lembrando-nos que a </w:t>
      </w:r>
      <w:proofErr w:type="spellStart"/>
      <w:r>
        <w:rPr>
          <w:rFonts w:ascii="Times New Roman" w:eastAsia="Segoe UI" w:hAnsi="Times New Roman" w:cs="Times New Roman"/>
          <w:sz w:val="24"/>
          <w:szCs w:val="24"/>
          <w:shd w:val="clear" w:color="auto" w:fill="FFFFFF"/>
          <w:lang w:eastAsia="zh-CN"/>
        </w:rPr>
        <w:t>auto-transcendência</w:t>
      </w:r>
      <w:proofErr w:type="spellEnd"/>
      <w:r>
        <w:rPr>
          <w:rFonts w:ascii="Times New Roman" w:eastAsia="Segoe UI" w:hAnsi="Times New Roman" w:cs="Times New Roman"/>
          <w:sz w:val="24"/>
          <w:szCs w:val="24"/>
          <w:shd w:val="clear" w:color="auto" w:fill="FFFFFF"/>
          <w:lang w:eastAsia="zh-CN"/>
        </w:rPr>
        <w:t xml:space="preserve"> pode ser o caminho para a mais autêntica realização humana.</w:t>
      </w:r>
    </w:p>
    <w:p w14:paraId="41A2F957" w14:textId="77777777" w:rsidR="0003312E"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24446808"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Próximo: A Fragmentação do Real</w:t>
      </w:r>
    </w:p>
    <w:p w14:paraId="6F57C42F"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Se o êxtase representa aquela dissolução luminosa do self em uma unidade maior, o delírio se manifesta como sua contraparte obscura - uma fragmentação caótica e angustiante da realidade. Enquanto Santa Teresa encontrou ordem e união no transcendente, Vincent van Gogh enfrentou o colapso devastador de uma mente incapaz de sustentar a realidade consensual, desmoronando em visões fragmentadas e cores alucinadas. É assim que nossa jornada pelos estados da mente nos revela seus limites mais frágeis e impressionantes, levando-nos da união extática à desintegração delirante. Nesse território de extremos, a linha que separa a genialidade da loucura se mostra tão tênue quanto fundamental, lembrando-nos da incrível plasticidade e vulnerabilidade da consciência humana em sua busca por significado e transcendência.</w:t>
      </w:r>
    </w:p>
    <w:tbl>
      <w:tblPr>
        <w:tblStyle w:val="Tabelacomgrade"/>
        <w:tblW w:w="874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Look w:val="04A0" w:firstRow="1" w:lastRow="0" w:firstColumn="1" w:lastColumn="0" w:noHBand="0" w:noVBand="1"/>
      </w:tblPr>
      <w:tblGrid>
        <w:gridCol w:w="4477"/>
        <w:gridCol w:w="4270"/>
      </w:tblGrid>
      <w:tr w:rsidR="0003312E" w14:paraId="5C933013" w14:textId="77777777">
        <w:trPr>
          <w:trHeight w:val="470"/>
        </w:trPr>
        <w:tc>
          <w:tcPr>
            <w:tcW w:w="8747" w:type="dxa"/>
            <w:gridSpan w:val="2"/>
            <w:tcBorders>
              <w:top w:val="nil"/>
              <w:left w:val="nil"/>
              <w:bottom w:val="nil"/>
              <w:right w:val="nil"/>
            </w:tcBorders>
          </w:tcPr>
          <w:p w14:paraId="150E31A4" w14:textId="77777777" w:rsidR="0003312E" w:rsidRDefault="00000000">
            <w:pPr>
              <w:pBdr>
                <w:left w:val="single" w:sz="80" w:space="4" w:color="7F7F7F" w:themeColor="text1" w:themeTint="80"/>
                <w:bottom w:val="single" w:sz="8" w:space="4" w:color="7F7F7F" w:themeColor="text1" w:themeTint="80"/>
              </w:pBdr>
              <w:spacing w:after="0" w:line="240" w:lineRule="auto"/>
              <w:rPr>
                <w:rFonts w:ascii="Times New Roman" w:eastAsia="SimSun" w:hAnsi="Times New Roman" w:cs="Times New Roman"/>
                <w:b/>
                <w:bCs/>
                <w:sz w:val="24"/>
                <w:szCs w:val="24"/>
              </w:rPr>
            </w:pPr>
            <w:r>
              <w:rPr>
                <w:rFonts w:ascii="Times New Roman" w:hAnsi="Times New Roman" w:cs="Times New Roman"/>
                <w:b/>
                <w:bCs/>
                <w:sz w:val="24"/>
                <w:szCs w:val="24"/>
              </w:rPr>
              <w:lastRenderedPageBreak/>
              <w:t xml:space="preserve">Capítulo </w:t>
            </w:r>
            <w:proofErr w:type="gramStart"/>
            <w:r>
              <w:rPr>
                <w:rFonts w:ascii="Times New Roman" w:hAnsi="Times New Roman" w:cs="Times New Roman"/>
                <w:b/>
                <w:bCs/>
                <w:sz w:val="24"/>
                <w:szCs w:val="24"/>
              </w:rPr>
              <w:t>6  -</w:t>
            </w:r>
            <w:proofErr w:type="gramEnd"/>
            <w:r>
              <w:rPr>
                <w:rFonts w:ascii="Times New Roman" w:hAnsi="Times New Roman" w:cs="Times New Roman"/>
                <w:b/>
                <w:bCs/>
                <w:sz w:val="24"/>
                <w:szCs w:val="24"/>
              </w:rPr>
              <w:t xml:space="preserve">  </w:t>
            </w:r>
            <w:r>
              <w:rPr>
                <w:rStyle w:val="Forte"/>
                <w:rFonts w:ascii="Times New Roman" w:eastAsia="Segoe UI" w:hAnsi="Times New Roman" w:cs="Times New Roman"/>
                <w:color w:val="0F1115"/>
                <w:sz w:val="24"/>
                <w:szCs w:val="24"/>
                <w:shd w:val="clear" w:color="auto" w:fill="FFFFFF"/>
              </w:rPr>
              <w:t>Delírio: Sair do Sulco do Pensamento</w:t>
            </w:r>
          </w:p>
        </w:tc>
      </w:tr>
      <w:tr w:rsidR="0003312E" w14:paraId="0DBEBBB6" w14:textId="77777777">
        <w:tc>
          <w:tcPr>
            <w:tcW w:w="4477" w:type="dxa"/>
            <w:tcBorders>
              <w:top w:val="nil"/>
              <w:left w:val="nil"/>
              <w:bottom w:val="nil"/>
              <w:right w:val="nil"/>
            </w:tcBorders>
          </w:tcPr>
          <w:p w14:paraId="15A83E65" w14:textId="77777777" w:rsidR="0003312E" w:rsidRDefault="00000000">
            <w:pPr>
              <w:spacing w:after="0" w:line="240" w:lineRule="auto"/>
              <w:jc w:val="center"/>
              <w:rPr>
                <w:rStyle w:val="Forte"/>
                <w:rFonts w:ascii="Times New Roman" w:eastAsia="Garamond" w:hAnsi="Times New Roman" w:cs="Times New Roman"/>
                <w:b w:val="0"/>
                <w:bCs w:val="0"/>
                <w:sz w:val="24"/>
                <w:szCs w:val="24"/>
              </w:rPr>
            </w:pPr>
            <w:r>
              <w:rPr>
                <w:rFonts w:ascii="Times New Roman" w:eastAsia="SimSun" w:hAnsi="Times New Roman" w:cs="Times New Roman"/>
                <w:noProof/>
                <w:sz w:val="24"/>
                <w:szCs w:val="24"/>
              </w:rPr>
              <w:drawing>
                <wp:inline distT="0" distB="0" distL="114300" distR="114300" wp14:anchorId="6CDA2EA1" wp14:editId="093BC53C">
                  <wp:extent cx="1913255" cy="1585595"/>
                  <wp:effectExtent l="0" t="0" r="6985" b="14605"/>
                  <wp:docPr id="3" name="Imagem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descr="IMG_256"/>
                          <pic:cNvPicPr>
                            <a:picLocks noChangeAspect="1"/>
                          </pic:cNvPicPr>
                        </pic:nvPicPr>
                        <pic:blipFill>
                          <a:blip r:embed="rId23"/>
                          <a:srcRect t="29360" r="14777"/>
                          <a:stretch>
                            <a:fillRect/>
                          </a:stretch>
                        </pic:blipFill>
                        <pic:spPr>
                          <a:xfrm>
                            <a:off x="0" y="0"/>
                            <a:ext cx="1913255" cy="1585595"/>
                          </a:xfrm>
                          <a:prstGeom prst="rect">
                            <a:avLst/>
                          </a:prstGeom>
                          <a:noFill/>
                          <a:ln w="9525">
                            <a:noFill/>
                          </a:ln>
                        </pic:spPr>
                      </pic:pic>
                    </a:graphicData>
                  </a:graphic>
                </wp:inline>
              </w:drawing>
            </w:r>
          </w:p>
        </w:tc>
        <w:tc>
          <w:tcPr>
            <w:tcW w:w="4270" w:type="dxa"/>
            <w:tcBorders>
              <w:top w:val="nil"/>
              <w:left w:val="nil"/>
              <w:bottom w:val="nil"/>
              <w:right w:val="nil"/>
            </w:tcBorders>
          </w:tcPr>
          <w:p w14:paraId="726E54F9" w14:textId="77777777" w:rsidR="0003312E" w:rsidRDefault="00000000">
            <w:pPr>
              <w:spacing w:after="0" w:line="240" w:lineRule="auto"/>
              <w:jc w:val="center"/>
              <w:rPr>
                <w:rStyle w:val="Forte"/>
                <w:rFonts w:ascii="Times New Roman" w:eastAsia="Garamond" w:hAnsi="Times New Roman" w:cs="Times New Roman"/>
                <w:b w:val="0"/>
                <w:bCs w:val="0"/>
                <w:sz w:val="24"/>
                <w:szCs w:val="24"/>
              </w:rPr>
            </w:pPr>
            <w:r>
              <w:rPr>
                <w:rFonts w:ascii="Times New Roman" w:eastAsia="SimSun" w:hAnsi="Times New Roman" w:cs="Times New Roman"/>
                <w:noProof/>
                <w:sz w:val="24"/>
                <w:szCs w:val="24"/>
              </w:rPr>
              <w:drawing>
                <wp:inline distT="0" distB="0" distL="114300" distR="114300" wp14:anchorId="550A5441" wp14:editId="084F2A11">
                  <wp:extent cx="1228725" cy="1626870"/>
                  <wp:effectExtent l="0" t="0" r="5715" b="3810"/>
                  <wp:docPr id="53" name="Imagem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m 22" descr="IMG_256"/>
                          <pic:cNvPicPr>
                            <a:picLocks noChangeAspect="1"/>
                          </pic:cNvPicPr>
                        </pic:nvPicPr>
                        <pic:blipFill>
                          <a:blip r:embed="rId24"/>
                          <a:srcRect b="11746"/>
                          <a:stretch>
                            <a:fillRect/>
                          </a:stretch>
                        </pic:blipFill>
                        <pic:spPr>
                          <a:xfrm>
                            <a:off x="0" y="0"/>
                            <a:ext cx="1228725" cy="1626870"/>
                          </a:xfrm>
                          <a:prstGeom prst="rect">
                            <a:avLst/>
                          </a:prstGeom>
                          <a:noFill/>
                          <a:ln w="9525">
                            <a:noFill/>
                          </a:ln>
                        </pic:spPr>
                      </pic:pic>
                    </a:graphicData>
                  </a:graphic>
                </wp:inline>
              </w:drawing>
            </w:r>
          </w:p>
        </w:tc>
      </w:tr>
      <w:tr w:rsidR="0003312E" w14:paraId="769EEB28" w14:textId="77777777">
        <w:trPr>
          <w:trHeight w:val="476"/>
        </w:trPr>
        <w:tc>
          <w:tcPr>
            <w:tcW w:w="4477" w:type="dxa"/>
            <w:tcBorders>
              <w:top w:val="nil"/>
              <w:left w:val="nil"/>
              <w:bottom w:val="nil"/>
              <w:right w:val="nil"/>
            </w:tcBorders>
          </w:tcPr>
          <w:p w14:paraId="6933F448" w14:textId="77777777" w:rsidR="0003312E" w:rsidRDefault="00000000">
            <w:pPr>
              <w:pStyle w:val="NormalWeb"/>
              <w:spacing w:beforeAutospacing="0" w:after="0" w:afterAutospacing="0" w:line="240" w:lineRule="auto"/>
              <w:rPr>
                <w:rStyle w:val="Forte"/>
                <w:rFonts w:eastAsia="Garamond"/>
                <w:b w:val="0"/>
                <w:bCs w:val="0"/>
                <w:sz w:val="24"/>
                <w:lang w:val="pt-BR"/>
              </w:rPr>
            </w:pPr>
            <w:r>
              <w:rPr>
                <w:rFonts w:eastAsiaTheme="majorEastAsia"/>
                <w:i/>
                <w:iCs/>
                <w:sz w:val="24"/>
                <w:lang w:val="pt-BR"/>
              </w:rPr>
              <w:t>Figura 6.1: O Campo que se Desvia: Quando o Pensamento Perde o Sulco</w:t>
            </w:r>
          </w:p>
        </w:tc>
        <w:tc>
          <w:tcPr>
            <w:tcW w:w="4270" w:type="dxa"/>
            <w:tcBorders>
              <w:top w:val="nil"/>
              <w:left w:val="nil"/>
              <w:bottom w:val="nil"/>
              <w:right w:val="nil"/>
            </w:tcBorders>
          </w:tcPr>
          <w:p w14:paraId="092F4CB8" w14:textId="77777777" w:rsidR="0003312E" w:rsidRDefault="00000000">
            <w:pPr>
              <w:spacing w:after="0" w:line="240" w:lineRule="auto"/>
              <w:rPr>
                <w:rStyle w:val="Forte"/>
                <w:rFonts w:ascii="Times New Roman" w:eastAsia="Garamond" w:hAnsi="Times New Roman" w:cs="Times New Roman"/>
                <w:b w:val="0"/>
                <w:bCs w:val="0"/>
                <w:sz w:val="24"/>
                <w:szCs w:val="24"/>
              </w:rPr>
            </w:pPr>
            <w:r>
              <w:rPr>
                <w:rFonts w:ascii="Times New Roman" w:eastAsiaTheme="majorEastAsia" w:hAnsi="Times New Roman" w:cs="Times New Roman"/>
                <w:i/>
                <w:iCs/>
                <w:sz w:val="24"/>
                <w:szCs w:val="24"/>
              </w:rPr>
              <w:t xml:space="preserve">Figura 6.2: </w:t>
            </w:r>
            <w:r>
              <w:rPr>
                <w:rStyle w:val="Forte"/>
                <w:rFonts w:ascii="Times New Roman" w:eastAsia="Segoe UI" w:hAnsi="Times New Roman" w:cs="Times New Roman"/>
                <w:b w:val="0"/>
                <w:bCs w:val="0"/>
                <w:i/>
                <w:iCs/>
                <w:sz w:val="24"/>
                <w:szCs w:val="24"/>
                <w:shd w:val="clear" w:color="auto" w:fill="FFFFFF"/>
              </w:rPr>
              <w:t xml:space="preserve">A Mente que Ara Fora do Sulco:  </w:t>
            </w:r>
            <w:r>
              <w:rPr>
                <w:rFonts w:ascii="Times New Roman" w:eastAsiaTheme="majorEastAsia" w:hAnsi="Times New Roman" w:cs="Times New Roman"/>
                <w:i/>
                <w:iCs/>
                <w:sz w:val="24"/>
                <w:szCs w:val="24"/>
              </w:rPr>
              <w:t xml:space="preserve">Vincent van Gogh </w:t>
            </w:r>
            <w:r>
              <w:rPr>
                <w:rStyle w:val="Forte"/>
                <w:rFonts w:ascii="Times New Roman" w:eastAsia="Segoe UI" w:hAnsi="Times New Roman" w:cs="Times New Roman"/>
                <w:b w:val="0"/>
                <w:bCs w:val="0"/>
                <w:i/>
                <w:iCs/>
                <w:sz w:val="24"/>
                <w:szCs w:val="24"/>
                <w:shd w:val="clear" w:color="auto" w:fill="FFFFFF"/>
              </w:rPr>
              <w:t>(1853 - 1890) e a Colheita do Invisível</w:t>
            </w:r>
          </w:p>
        </w:tc>
      </w:tr>
    </w:tbl>
    <w:p w14:paraId="49B06633" w14:textId="77777777" w:rsidR="0003312E" w:rsidRDefault="0003312E">
      <w:pPr>
        <w:pStyle w:val="NormalWeb"/>
        <w:spacing w:beforeAutospacing="0" w:after="0" w:afterAutospacing="0" w:line="360" w:lineRule="auto"/>
        <w:ind w:firstLine="709"/>
        <w:jc w:val="both"/>
        <w:rPr>
          <w:rFonts w:eastAsia="Segoe UI"/>
          <w:sz w:val="24"/>
          <w:shd w:val="clear" w:color="auto" w:fill="FFFFFF"/>
          <w:lang w:val="pt-BR"/>
        </w:rPr>
      </w:pPr>
    </w:p>
    <w:p w14:paraId="0F4D985C" w14:textId="77777777" w:rsidR="0003312E" w:rsidRDefault="00000000">
      <w:pPr>
        <w:pStyle w:val="NormalWeb"/>
        <w:shd w:val="clear" w:color="auto" w:fill="FFFFFF"/>
        <w:spacing w:beforeAutospacing="0" w:after="0" w:afterAutospacing="0" w:line="360" w:lineRule="auto"/>
        <w:ind w:firstLine="709"/>
        <w:jc w:val="both"/>
        <w:rPr>
          <w:rFonts w:eastAsia="Segoe UI"/>
          <w:color w:val="0F1115"/>
          <w:sz w:val="24"/>
          <w:lang w:val="pt-BR"/>
        </w:rPr>
      </w:pPr>
      <w:r>
        <w:rPr>
          <w:rStyle w:val="Forte"/>
          <w:rFonts w:eastAsia="Segoe UI"/>
          <w:color w:val="0F1115"/>
          <w:sz w:val="24"/>
          <w:shd w:val="clear" w:color="auto" w:fill="FFFFFF"/>
          <w:lang w:val="pt-BR"/>
        </w:rPr>
        <w:t>Delírio em Poucas Palavras: Quando a Mente Sai do Rumo</w:t>
      </w:r>
    </w:p>
    <w:p w14:paraId="2EDAAF21" w14:textId="77777777" w:rsidR="0003312E" w:rsidRDefault="00000000">
      <w:pPr>
        <w:pStyle w:val="NormalWeb"/>
        <w:shd w:val="clear" w:color="auto" w:fill="FFFFFF"/>
        <w:spacing w:beforeAutospacing="0" w:after="0" w:afterAutospacing="0" w:line="360" w:lineRule="auto"/>
        <w:ind w:firstLine="709"/>
        <w:jc w:val="both"/>
        <w:rPr>
          <w:rFonts w:eastAsia="Segoe UI"/>
          <w:color w:val="0F1115"/>
          <w:sz w:val="24"/>
          <w:lang w:val="pt-BR"/>
        </w:rPr>
      </w:pPr>
      <w:r>
        <w:rPr>
          <w:rFonts w:eastAsia="Segoe UI"/>
          <w:color w:val="0F1115"/>
          <w:sz w:val="24"/>
          <w:shd w:val="clear" w:color="auto" w:fill="FFFFFF"/>
          <w:lang w:val="pt-BR"/>
        </w:rPr>
        <w:t>O fenômeno do delírio nos convida a explorar um dos estados mais complexos da mente humana, e para compreendê-lo em sua totalidade, percorreremos quatro dimensões fundamentais que se entrelaçam. A primeira nos revela sua origem etimológica, que significa literalmente "sair do sulco", uma imagem que já antecipa a natureza desse desvio cognitivo. A segunda nos guia por sua intricada jornada histórica, que parte de interpretações de possessão demoníaca e chega a uma compreensão médica mais sofisticada. A terceira dimensão desvenda os mecanismos neurocientíficos por trás dessa profunda desconexão com a realidade. E a quarta nos leva ao plano filosófico e artístico, onde o delírio se revela como um paradoxo criativo de grande complexidade. São essas quatro perspectivas, meticulosamente integradas na seção final, que nos oferecem uma compreensão profunda e multidimensional desse estado de desorganização mental que tanto desafia nossa compreensão da sanidade.</w:t>
      </w:r>
    </w:p>
    <w:p w14:paraId="167D5730" w14:textId="77777777" w:rsidR="0003312E" w:rsidRDefault="00000000">
      <w:pPr>
        <w:pStyle w:val="NormalWeb"/>
        <w:shd w:val="clear" w:color="auto" w:fill="FFFFFF"/>
        <w:spacing w:beforeAutospacing="0" w:after="0" w:afterAutospacing="0" w:line="360" w:lineRule="auto"/>
        <w:ind w:firstLine="709"/>
        <w:jc w:val="both"/>
        <w:rPr>
          <w:rFonts w:eastAsia="Segoe UI"/>
          <w:color w:val="0F1115"/>
          <w:sz w:val="24"/>
          <w:lang w:val="pt-BR"/>
        </w:rPr>
      </w:pPr>
      <w:r>
        <w:rPr>
          <w:rStyle w:val="Forte"/>
          <w:rFonts w:eastAsia="Segoe UI"/>
          <w:color w:val="0F1115"/>
          <w:sz w:val="24"/>
          <w:shd w:val="clear" w:color="auto" w:fill="FFFFFF"/>
          <w:lang w:val="pt-BR"/>
        </w:rPr>
        <w:t>A Jornada da Palavra: Do Campo à Clínica - Uma História Conceptual Complexa</w:t>
      </w:r>
    </w:p>
    <w:p w14:paraId="618689E1" w14:textId="77777777" w:rsidR="0003312E" w:rsidRDefault="00000000">
      <w:pPr>
        <w:pStyle w:val="NormalWeb"/>
        <w:shd w:val="clear" w:color="auto" w:fill="FFFFFF"/>
        <w:spacing w:beforeAutospacing="0" w:after="0" w:afterAutospacing="0" w:line="360" w:lineRule="auto"/>
        <w:ind w:firstLine="709"/>
        <w:jc w:val="both"/>
        <w:rPr>
          <w:rFonts w:eastAsia="Segoe UI"/>
          <w:color w:val="0F1115"/>
          <w:sz w:val="24"/>
          <w:lang w:val="pt-BR"/>
        </w:rPr>
      </w:pPr>
      <w:r>
        <w:rPr>
          <w:rFonts w:eastAsia="Segoe UI"/>
          <w:color w:val="0F1115"/>
          <w:sz w:val="24"/>
          <w:shd w:val="clear" w:color="auto" w:fill="FFFFFF"/>
          <w:lang w:val="pt-BR"/>
        </w:rPr>
        <w:t>A história do delírio reflete a trajetória da humanidade ao compreender a loucura, transitando de interpretações sobrenaturais para explicações médicas. Na Roma Antiga, </w:t>
      </w:r>
      <w:proofErr w:type="spellStart"/>
      <w:r>
        <w:rPr>
          <w:rStyle w:val="nfase"/>
          <w:rFonts w:eastAsia="Segoe UI"/>
          <w:i w:val="0"/>
          <w:iCs w:val="0"/>
          <w:color w:val="0F1115"/>
          <w:sz w:val="24"/>
          <w:shd w:val="clear" w:color="auto" w:fill="FFFFFF"/>
          <w:lang w:val="pt-BR"/>
        </w:rPr>
        <w:t>dēlīrāre</w:t>
      </w:r>
      <w:proofErr w:type="spellEnd"/>
      <w:r>
        <w:rPr>
          <w:rFonts w:eastAsia="Segoe UI"/>
          <w:color w:val="0F1115"/>
          <w:sz w:val="24"/>
          <w:shd w:val="clear" w:color="auto" w:fill="FFFFFF"/>
          <w:lang w:val="pt-BR"/>
        </w:rPr>
        <w:t> era um termo agrícola que logo adquiriu sentido metafórico: o pensamento que se desvia do sulco da lógica. Esta origem etimológica explica a abrangência conceptual do termo nas línguas latinas, referindo-se inicialmente a qualquer afastamento da normalidade.</w:t>
      </w:r>
    </w:p>
    <w:p w14:paraId="0164547C" w14:textId="77777777" w:rsidR="0003312E" w:rsidRDefault="00000000">
      <w:pPr>
        <w:pStyle w:val="NormalWeb"/>
        <w:shd w:val="clear" w:color="auto" w:fill="FFFFFF"/>
        <w:spacing w:beforeAutospacing="0" w:after="0" w:afterAutospacing="0" w:line="360" w:lineRule="auto"/>
        <w:ind w:firstLine="709"/>
        <w:jc w:val="both"/>
        <w:rPr>
          <w:rFonts w:eastAsia="Segoe UI"/>
          <w:color w:val="0F1115"/>
          <w:sz w:val="24"/>
          <w:lang w:val="pt-BR"/>
        </w:rPr>
      </w:pPr>
      <w:r>
        <w:rPr>
          <w:rFonts w:eastAsia="Segoe UI"/>
          <w:color w:val="0F1115"/>
          <w:sz w:val="24"/>
          <w:shd w:val="clear" w:color="auto" w:fill="FFFFFF"/>
          <w:lang w:val="pt-BR"/>
        </w:rPr>
        <w:t xml:space="preserve">Na Idade Média, o delírio passou a ser visto como possessão, um território de batalha entre forças divinas e demoníacas, sem intervenção médica, onde exorcismos e peregrinações substituíam qualquer cuidado clínico. Esta visão começou a mudar significativamente antes do século XVIII, com autores como Pedro de Heredia (1579-1655), que em seu "Tratado do </w:t>
      </w:r>
      <w:r>
        <w:rPr>
          <w:rFonts w:eastAsia="Segoe UI"/>
          <w:color w:val="0F1115"/>
          <w:sz w:val="24"/>
          <w:shd w:val="clear" w:color="auto" w:fill="FFFFFF"/>
          <w:lang w:val="pt-BR"/>
        </w:rPr>
        <w:lastRenderedPageBreak/>
        <w:t xml:space="preserve">delírio" já enfatizava a importância da razão, considerando que "a razão é a potência príncipe que rege e governa todas as outras, e cuja </w:t>
      </w:r>
      <w:proofErr w:type="spellStart"/>
      <w:r>
        <w:rPr>
          <w:rFonts w:eastAsia="Segoe UI"/>
          <w:color w:val="0F1115"/>
          <w:sz w:val="24"/>
          <w:shd w:val="clear" w:color="auto" w:fill="FFFFFF"/>
          <w:lang w:val="pt-BR"/>
        </w:rPr>
        <w:t>actividade</w:t>
      </w:r>
      <w:proofErr w:type="spellEnd"/>
      <w:r>
        <w:rPr>
          <w:rFonts w:eastAsia="Segoe UI"/>
          <w:color w:val="0F1115"/>
          <w:sz w:val="24"/>
          <w:shd w:val="clear" w:color="auto" w:fill="FFFFFF"/>
          <w:lang w:val="pt-BR"/>
        </w:rPr>
        <w:t xml:space="preserve"> desajustada é o delírio".</w:t>
      </w:r>
    </w:p>
    <w:p w14:paraId="0109C110" w14:textId="77777777" w:rsidR="0003312E" w:rsidRDefault="00000000">
      <w:pPr>
        <w:pStyle w:val="NormalWeb"/>
        <w:shd w:val="clear" w:color="auto" w:fill="FFFFFF"/>
        <w:spacing w:beforeAutospacing="0" w:after="0" w:afterAutospacing="0" w:line="360" w:lineRule="auto"/>
        <w:ind w:firstLine="709"/>
        <w:jc w:val="both"/>
        <w:rPr>
          <w:rFonts w:eastAsia="Segoe UI"/>
          <w:color w:val="0F1115"/>
          <w:sz w:val="24"/>
          <w:lang w:val="pt-BR"/>
        </w:rPr>
      </w:pPr>
      <w:r>
        <w:rPr>
          <w:rFonts w:eastAsia="Segoe UI"/>
          <w:color w:val="0F1115"/>
          <w:sz w:val="24"/>
          <w:shd w:val="clear" w:color="auto" w:fill="FFFFFF"/>
          <w:lang w:val="pt-BR"/>
        </w:rPr>
        <w:t xml:space="preserve">A virada decisiva ocorreu com Philippe Pinel, no século XVIII. No asilo de </w:t>
      </w:r>
      <w:proofErr w:type="spellStart"/>
      <w:r>
        <w:rPr>
          <w:rFonts w:eastAsia="Segoe UI"/>
          <w:color w:val="0F1115"/>
          <w:sz w:val="24"/>
          <w:shd w:val="clear" w:color="auto" w:fill="FFFFFF"/>
          <w:lang w:val="pt-BR"/>
        </w:rPr>
        <w:t>Bicêtre</w:t>
      </w:r>
      <w:proofErr w:type="spellEnd"/>
      <w:r>
        <w:rPr>
          <w:rFonts w:eastAsia="Segoe UI"/>
          <w:color w:val="0F1115"/>
          <w:sz w:val="24"/>
          <w:shd w:val="clear" w:color="auto" w:fill="FFFFFF"/>
          <w:lang w:val="pt-BR"/>
        </w:rPr>
        <w:t xml:space="preserve">, Pinel libertou os pacientes das correntes e propôs que o delírio não constituía punição divina, mas sim "alienação mental" - uma doença merecedora de estudo científico. No século XIX, Jean-Étienne </w:t>
      </w:r>
      <w:proofErr w:type="spellStart"/>
      <w:r>
        <w:rPr>
          <w:rFonts w:eastAsia="Segoe UI"/>
          <w:color w:val="0F1115"/>
          <w:sz w:val="24"/>
          <w:shd w:val="clear" w:color="auto" w:fill="FFFFFF"/>
          <w:lang w:val="pt-BR"/>
        </w:rPr>
        <w:t>Esquirol</w:t>
      </w:r>
      <w:proofErr w:type="spellEnd"/>
      <w:r>
        <w:rPr>
          <w:rFonts w:eastAsia="Segoe UI"/>
          <w:color w:val="0F1115"/>
          <w:sz w:val="24"/>
          <w:shd w:val="clear" w:color="auto" w:fill="FFFFFF"/>
          <w:lang w:val="pt-BR"/>
        </w:rPr>
        <w:t xml:space="preserve"> refinou o conceito, diferenciando o delírio generalizado da "monomania", fixação obsessiva em um único tema.</w:t>
      </w:r>
    </w:p>
    <w:p w14:paraId="6E403623" w14:textId="77777777" w:rsidR="0003312E" w:rsidRDefault="0003312E">
      <w:pPr>
        <w:pStyle w:val="NormalWeb"/>
        <w:shd w:val="clear" w:color="auto" w:fill="FFFFFF"/>
        <w:spacing w:beforeAutospacing="0" w:after="0" w:afterAutospacing="0" w:line="360" w:lineRule="auto"/>
        <w:ind w:firstLine="709"/>
        <w:jc w:val="both"/>
        <w:rPr>
          <w:rStyle w:val="Forte"/>
          <w:rFonts w:eastAsia="Segoe UI"/>
          <w:color w:val="0F1115"/>
          <w:sz w:val="24"/>
          <w:shd w:val="clear" w:color="auto" w:fill="FFFFFF"/>
          <w:lang w:val="pt-BR"/>
        </w:rPr>
      </w:pPr>
    </w:p>
    <w:p w14:paraId="3069D250" w14:textId="77777777" w:rsidR="0003312E" w:rsidRDefault="00000000">
      <w:pPr>
        <w:pStyle w:val="NormalWeb"/>
        <w:shd w:val="clear" w:color="auto" w:fill="FFFFFF"/>
        <w:spacing w:beforeAutospacing="0" w:after="0" w:afterAutospacing="0" w:line="360" w:lineRule="auto"/>
        <w:ind w:firstLine="709"/>
        <w:jc w:val="both"/>
        <w:rPr>
          <w:rFonts w:eastAsia="Segoe UI"/>
          <w:color w:val="0F1115"/>
          <w:sz w:val="24"/>
          <w:lang w:val="pt-BR"/>
        </w:rPr>
      </w:pPr>
      <w:r>
        <w:rPr>
          <w:rStyle w:val="Forte"/>
          <w:rFonts w:eastAsia="Segoe UI"/>
          <w:color w:val="0F1115"/>
          <w:sz w:val="24"/>
          <w:shd w:val="clear" w:color="auto" w:fill="FFFFFF"/>
          <w:lang w:val="pt-BR"/>
        </w:rPr>
        <w:t>A Grande Divergência Conceptual: Escolas Francesa, Alemã e Inglesa</w:t>
      </w:r>
    </w:p>
    <w:p w14:paraId="66B62073" w14:textId="77777777" w:rsidR="0003312E" w:rsidRDefault="00000000">
      <w:pPr>
        <w:pStyle w:val="NormalWeb"/>
        <w:shd w:val="clear" w:color="auto" w:fill="FFFFFF"/>
        <w:spacing w:beforeAutospacing="0" w:after="0" w:afterAutospacing="0" w:line="360" w:lineRule="auto"/>
        <w:ind w:firstLine="709"/>
        <w:jc w:val="both"/>
        <w:rPr>
          <w:rFonts w:eastAsia="Segoe UI"/>
          <w:color w:val="0F1115"/>
          <w:sz w:val="24"/>
          <w:lang w:val="pt-BR"/>
        </w:rPr>
      </w:pPr>
      <w:r>
        <w:rPr>
          <w:rFonts w:eastAsia="Segoe UI"/>
          <w:color w:val="0F1115"/>
          <w:sz w:val="24"/>
          <w:shd w:val="clear" w:color="auto" w:fill="FFFFFF"/>
          <w:lang w:val="pt-BR"/>
        </w:rPr>
        <w:t>O século XIX testemunhou uma divergência fundamental na compreensão do delírio entre as diferentes escolas psiquiátricas:</w:t>
      </w:r>
    </w:p>
    <w:p w14:paraId="7407D05D" w14:textId="77777777" w:rsidR="0003312E" w:rsidRDefault="00000000">
      <w:pPr>
        <w:pStyle w:val="NormalWeb"/>
        <w:shd w:val="clear" w:color="auto" w:fill="FFFFFF"/>
        <w:spacing w:beforeAutospacing="0" w:after="0" w:afterAutospacing="0" w:line="360" w:lineRule="auto"/>
        <w:ind w:firstLine="709"/>
        <w:jc w:val="both"/>
        <w:rPr>
          <w:rFonts w:eastAsia="Segoe UI"/>
          <w:color w:val="0F1115"/>
          <w:sz w:val="24"/>
          <w:lang w:val="pt-BR"/>
        </w:rPr>
      </w:pPr>
      <w:r>
        <w:rPr>
          <w:rStyle w:val="nfase"/>
          <w:rFonts w:eastAsia="Segoe UI"/>
          <w:i w:val="0"/>
          <w:iCs w:val="0"/>
          <w:color w:val="0F1115"/>
          <w:sz w:val="24"/>
          <w:shd w:val="clear" w:color="auto" w:fill="FFFFFF"/>
          <w:lang w:val="pt-BR"/>
        </w:rPr>
        <w:t>Na Escola Francesa</w:t>
      </w:r>
      <w:r>
        <w:rPr>
          <w:rFonts w:eastAsia="Segoe UI"/>
          <w:color w:val="0F1115"/>
          <w:sz w:val="24"/>
          <w:shd w:val="clear" w:color="auto" w:fill="FFFFFF"/>
          <w:lang w:val="pt-BR"/>
        </w:rPr>
        <w:t> prevaleceu uma conceção ampla do "</w:t>
      </w:r>
      <w:proofErr w:type="spellStart"/>
      <w:r>
        <w:rPr>
          <w:rFonts w:eastAsia="Segoe UI"/>
          <w:color w:val="0F1115"/>
          <w:sz w:val="24"/>
          <w:shd w:val="clear" w:color="auto" w:fill="FFFFFF"/>
          <w:lang w:val="pt-BR"/>
        </w:rPr>
        <w:t>délire</w:t>
      </w:r>
      <w:proofErr w:type="spellEnd"/>
      <w:r>
        <w:rPr>
          <w:rFonts w:eastAsia="Segoe UI"/>
          <w:color w:val="0F1115"/>
          <w:sz w:val="24"/>
          <w:shd w:val="clear" w:color="auto" w:fill="FFFFFF"/>
          <w:lang w:val="pt-BR"/>
        </w:rPr>
        <w:t xml:space="preserve">" como síndrome multidimensional. Autores como </w:t>
      </w:r>
      <w:proofErr w:type="spellStart"/>
      <w:r>
        <w:rPr>
          <w:rFonts w:eastAsia="Segoe UI"/>
          <w:color w:val="0F1115"/>
          <w:sz w:val="24"/>
          <w:shd w:val="clear" w:color="auto" w:fill="FFFFFF"/>
          <w:lang w:val="pt-BR"/>
        </w:rPr>
        <w:t>Falret</w:t>
      </w:r>
      <w:proofErr w:type="spellEnd"/>
      <w:r>
        <w:rPr>
          <w:rFonts w:eastAsia="Segoe UI"/>
          <w:color w:val="0F1115"/>
          <w:sz w:val="24"/>
          <w:shd w:val="clear" w:color="auto" w:fill="FFFFFF"/>
          <w:lang w:val="pt-BR"/>
        </w:rPr>
        <w:t xml:space="preserve"> (1794-1870) mantinham que "delírio inclui em geral todas as perturbações da inteligência qualquer que seja a causa, origem e duração". Esta visão abrangente dificultava a distinção entre delírio e alucinações, sendo comum considerar a alucinação como "uma forma de delírio". Jules </w:t>
      </w:r>
      <w:proofErr w:type="spellStart"/>
      <w:r>
        <w:rPr>
          <w:rFonts w:eastAsia="Segoe UI"/>
          <w:color w:val="0F1115"/>
          <w:sz w:val="24"/>
          <w:shd w:val="clear" w:color="auto" w:fill="FFFFFF"/>
          <w:lang w:val="pt-BR"/>
        </w:rPr>
        <w:t>Séglas</w:t>
      </w:r>
      <w:proofErr w:type="spellEnd"/>
      <w:r>
        <w:rPr>
          <w:rFonts w:eastAsia="Segoe UI"/>
          <w:color w:val="0F1115"/>
          <w:sz w:val="24"/>
          <w:shd w:val="clear" w:color="auto" w:fill="FFFFFF"/>
          <w:lang w:val="pt-BR"/>
        </w:rPr>
        <w:t xml:space="preserve"> (1856-1939) viria a fazer contribuições importantes ao sublinhar que uma característica central do delírio é que o paciente "tem estas ideias como verdadeiras, sem verificação prévia e com uma absoluta falta de crítica".</w:t>
      </w:r>
    </w:p>
    <w:p w14:paraId="6AD171E6" w14:textId="77777777" w:rsidR="0003312E" w:rsidRDefault="00000000">
      <w:pPr>
        <w:pStyle w:val="NormalWeb"/>
        <w:shd w:val="clear" w:color="auto" w:fill="FFFFFF"/>
        <w:spacing w:beforeAutospacing="0" w:after="0" w:afterAutospacing="0" w:line="360" w:lineRule="auto"/>
        <w:ind w:firstLine="709"/>
        <w:jc w:val="both"/>
        <w:rPr>
          <w:rFonts w:eastAsia="Segoe UI"/>
          <w:color w:val="0F1115"/>
          <w:sz w:val="24"/>
          <w:lang w:val="pt-BR"/>
        </w:rPr>
      </w:pPr>
      <w:r>
        <w:rPr>
          <w:rStyle w:val="nfase"/>
          <w:rFonts w:eastAsia="Segoe UI"/>
          <w:i w:val="0"/>
          <w:iCs w:val="0"/>
          <w:color w:val="0F1115"/>
          <w:sz w:val="24"/>
          <w:shd w:val="clear" w:color="auto" w:fill="FFFFFF"/>
          <w:lang w:val="pt-BR"/>
        </w:rPr>
        <w:t>Em contraste, as escolas Alemã e Inglesa</w:t>
      </w:r>
      <w:r>
        <w:rPr>
          <w:rFonts w:eastAsia="Segoe UI"/>
          <w:color w:val="0F1115"/>
          <w:sz w:val="24"/>
          <w:shd w:val="clear" w:color="auto" w:fill="FFFFFF"/>
          <w:lang w:val="pt-BR"/>
        </w:rPr>
        <w:t> adotaram termos mais restritos - </w:t>
      </w:r>
      <w:proofErr w:type="spellStart"/>
      <w:r>
        <w:rPr>
          <w:rStyle w:val="nfase"/>
          <w:rFonts w:eastAsia="Segoe UI"/>
          <w:i w:val="0"/>
          <w:iCs w:val="0"/>
          <w:color w:val="0F1115"/>
          <w:sz w:val="24"/>
          <w:shd w:val="clear" w:color="auto" w:fill="FFFFFF"/>
          <w:lang w:val="pt-BR"/>
        </w:rPr>
        <w:t>Wahn</w:t>
      </w:r>
      <w:proofErr w:type="spellEnd"/>
      <w:r>
        <w:rPr>
          <w:rFonts w:eastAsia="Segoe UI"/>
          <w:color w:val="0F1115"/>
          <w:sz w:val="24"/>
          <w:shd w:val="clear" w:color="auto" w:fill="FFFFFF"/>
          <w:lang w:val="pt-BR"/>
        </w:rPr>
        <w:t> e </w:t>
      </w:r>
      <w:proofErr w:type="spellStart"/>
      <w:r>
        <w:rPr>
          <w:rStyle w:val="nfase"/>
          <w:rFonts w:eastAsia="Segoe UI"/>
          <w:i w:val="0"/>
          <w:iCs w:val="0"/>
          <w:color w:val="0F1115"/>
          <w:sz w:val="24"/>
          <w:shd w:val="clear" w:color="auto" w:fill="FFFFFF"/>
          <w:lang w:val="pt-BR"/>
        </w:rPr>
        <w:t>delusion</w:t>
      </w:r>
      <w:proofErr w:type="spellEnd"/>
      <w:r>
        <w:rPr>
          <w:rFonts w:eastAsia="Segoe UI"/>
          <w:color w:val="0F1115"/>
          <w:sz w:val="24"/>
          <w:shd w:val="clear" w:color="auto" w:fill="FFFFFF"/>
          <w:lang w:val="pt-BR"/>
        </w:rPr>
        <w:t> - manifestando desde o século XVIII um descontentamento com a indefinição do conceito francês. Thomas Arnold (1742-1816) já expressava esta insatisfação: "o termo delirium tem sido adoptado universalmente... No entanto tem sido definido de forma diferente pelos vários autores, por muitos nem definido de todo e por nenhum tão bem quanto seria desejável". Esta postura refletia uma tendência anglo-germânica para encontrar um termo que restringisse o conceito às alterações do conteúdo do pensamento.</w:t>
      </w:r>
    </w:p>
    <w:p w14:paraId="000B76F9" w14:textId="77777777" w:rsidR="0003312E" w:rsidRDefault="0003312E">
      <w:pPr>
        <w:pStyle w:val="NormalWeb"/>
        <w:shd w:val="clear" w:color="auto" w:fill="FFFFFF"/>
        <w:spacing w:beforeAutospacing="0" w:after="0" w:afterAutospacing="0" w:line="360" w:lineRule="auto"/>
        <w:ind w:firstLine="709"/>
        <w:jc w:val="both"/>
        <w:rPr>
          <w:rStyle w:val="Forte"/>
          <w:rFonts w:eastAsia="Segoe UI"/>
          <w:color w:val="0F1115"/>
          <w:sz w:val="24"/>
          <w:shd w:val="clear" w:color="auto" w:fill="FFFFFF"/>
          <w:lang w:val="pt-BR"/>
        </w:rPr>
      </w:pPr>
    </w:p>
    <w:p w14:paraId="52DFF005" w14:textId="77777777" w:rsidR="0003312E" w:rsidRDefault="00000000">
      <w:pPr>
        <w:pStyle w:val="NormalWeb"/>
        <w:shd w:val="clear" w:color="auto" w:fill="FFFFFF"/>
        <w:spacing w:beforeAutospacing="0" w:after="0" w:afterAutospacing="0" w:line="360" w:lineRule="auto"/>
        <w:ind w:firstLine="709"/>
        <w:jc w:val="both"/>
        <w:rPr>
          <w:rFonts w:eastAsia="Segoe UI"/>
          <w:color w:val="0F1115"/>
          <w:sz w:val="24"/>
          <w:lang w:val="pt-BR"/>
        </w:rPr>
      </w:pPr>
      <w:r>
        <w:rPr>
          <w:rStyle w:val="Forte"/>
          <w:rFonts w:eastAsia="Segoe UI"/>
          <w:color w:val="0F1115"/>
          <w:sz w:val="24"/>
          <w:shd w:val="clear" w:color="auto" w:fill="FFFFFF"/>
          <w:lang w:val="pt-BR"/>
        </w:rPr>
        <w:t>A Sistematização do Século XX e a Neurociência Contemporânea</w:t>
      </w:r>
    </w:p>
    <w:p w14:paraId="7407C72E" w14:textId="77777777" w:rsidR="0003312E" w:rsidRDefault="00000000">
      <w:pPr>
        <w:pStyle w:val="NormalWeb"/>
        <w:shd w:val="clear" w:color="auto" w:fill="FFFFFF"/>
        <w:spacing w:beforeAutospacing="0" w:after="0" w:afterAutospacing="0" w:line="360" w:lineRule="auto"/>
        <w:ind w:firstLine="709"/>
        <w:jc w:val="both"/>
        <w:rPr>
          <w:rFonts w:eastAsia="Segoe UI"/>
          <w:color w:val="0F1115"/>
          <w:sz w:val="24"/>
          <w:lang w:val="pt-BR"/>
        </w:rPr>
      </w:pPr>
      <w:r>
        <w:rPr>
          <w:rFonts w:eastAsia="Segoe UI"/>
          <w:color w:val="0F1115"/>
          <w:sz w:val="24"/>
          <w:shd w:val="clear" w:color="auto" w:fill="FFFFFF"/>
          <w:lang w:val="pt-BR"/>
        </w:rPr>
        <w:t xml:space="preserve">O século XX trouxe a sistematização conceitual com Karl </w:t>
      </w:r>
      <w:proofErr w:type="spellStart"/>
      <w:r>
        <w:rPr>
          <w:rFonts w:eastAsia="Segoe UI"/>
          <w:color w:val="0F1115"/>
          <w:sz w:val="24"/>
          <w:shd w:val="clear" w:color="auto" w:fill="FFFFFF"/>
          <w:lang w:val="pt-BR"/>
        </w:rPr>
        <w:t>Jaspers</w:t>
      </w:r>
      <w:proofErr w:type="spellEnd"/>
      <w:r>
        <w:rPr>
          <w:rFonts w:eastAsia="Segoe UI"/>
          <w:color w:val="0F1115"/>
          <w:sz w:val="24"/>
          <w:shd w:val="clear" w:color="auto" w:fill="FFFFFF"/>
          <w:lang w:val="pt-BR"/>
        </w:rPr>
        <w:t xml:space="preserve"> (1883-1969), que na sua "Psicopatologia Geral" (1913) definiu criteriosamente as ideias delirantes como juízos falsos caracterizados por: 1) irredutibilidade perante argumentação lógica; 2) convicção plena; e 3) conteúdo impossível. Desenvolveram-se depois as formas de delírio primário com contributos de </w:t>
      </w:r>
      <w:proofErr w:type="spellStart"/>
      <w:r>
        <w:rPr>
          <w:rFonts w:eastAsia="Segoe UI"/>
          <w:color w:val="0F1115"/>
          <w:sz w:val="24"/>
          <w:shd w:val="clear" w:color="auto" w:fill="FFFFFF"/>
          <w:lang w:val="pt-BR"/>
        </w:rPr>
        <w:t>Gruhle</w:t>
      </w:r>
      <w:proofErr w:type="spellEnd"/>
      <w:r>
        <w:rPr>
          <w:rFonts w:eastAsia="Segoe UI"/>
          <w:color w:val="0F1115"/>
          <w:sz w:val="24"/>
          <w:shd w:val="clear" w:color="auto" w:fill="FFFFFF"/>
          <w:lang w:val="pt-BR"/>
        </w:rPr>
        <w:t xml:space="preserve"> (1880-1958) e Kurt Schneider (1887-1967).</w:t>
      </w:r>
    </w:p>
    <w:p w14:paraId="6971359B" w14:textId="77777777" w:rsidR="0003312E" w:rsidRDefault="00000000">
      <w:pPr>
        <w:pStyle w:val="NormalWeb"/>
        <w:shd w:val="clear" w:color="auto" w:fill="FFFFFF"/>
        <w:spacing w:beforeAutospacing="0" w:after="0" w:afterAutospacing="0" w:line="360" w:lineRule="auto"/>
        <w:ind w:firstLine="709"/>
        <w:jc w:val="both"/>
        <w:rPr>
          <w:rFonts w:eastAsia="Segoe UI"/>
          <w:color w:val="0F1115"/>
          <w:sz w:val="24"/>
          <w:shd w:val="clear" w:color="auto" w:fill="FFFFFF"/>
          <w:lang w:val="pt-BR"/>
        </w:rPr>
      </w:pPr>
      <w:r>
        <w:rPr>
          <w:rFonts w:eastAsia="Segoe UI"/>
          <w:color w:val="0F1115"/>
          <w:sz w:val="24"/>
          <w:shd w:val="clear" w:color="auto" w:fill="FFFFFF"/>
          <w:lang w:val="pt-BR"/>
        </w:rPr>
        <w:t>Atualmente, o DSM-5 define o </w:t>
      </w:r>
      <w:r>
        <w:rPr>
          <w:rStyle w:val="nfase"/>
          <w:rFonts w:eastAsia="Segoe UI"/>
          <w:i w:val="0"/>
          <w:iCs w:val="0"/>
          <w:color w:val="0F1115"/>
          <w:sz w:val="24"/>
          <w:shd w:val="clear" w:color="auto" w:fill="FFFFFF"/>
          <w:lang w:val="pt-BR"/>
        </w:rPr>
        <w:t>delirium</w:t>
      </w:r>
      <w:r>
        <w:rPr>
          <w:rFonts w:eastAsia="Segoe UI"/>
          <w:color w:val="0F1115"/>
          <w:sz w:val="24"/>
          <w:shd w:val="clear" w:color="auto" w:fill="FFFFFF"/>
          <w:lang w:val="pt-BR"/>
        </w:rPr>
        <w:t xml:space="preserve"> como transtorno </w:t>
      </w:r>
      <w:proofErr w:type="spellStart"/>
      <w:r>
        <w:rPr>
          <w:rFonts w:eastAsia="Segoe UI"/>
          <w:color w:val="0F1115"/>
          <w:sz w:val="24"/>
          <w:shd w:val="clear" w:color="auto" w:fill="FFFFFF"/>
          <w:lang w:val="pt-BR"/>
        </w:rPr>
        <w:t>neurocognitivo</w:t>
      </w:r>
      <w:proofErr w:type="spellEnd"/>
      <w:r>
        <w:rPr>
          <w:rFonts w:eastAsia="Segoe UI"/>
          <w:color w:val="0F1115"/>
          <w:sz w:val="24"/>
          <w:shd w:val="clear" w:color="auto" w:fill="FFFFFF"/>
          <w:lang w:val="pt-BR"/>
        </w:rPr>
        <w:t xml:space="preserve"> agudo, com critérios objetivos de desatenção e desorganização do pensamento, enquanto os </w:t>
      </w:r>
      <w:r>
        <w:rPr>
          <w:rStyle w:val="nfase"/>
          <w:rFonts w:eastAsia="Segoe UI"/>
          <w:i w:val="0"/>
          <w:iCs w:val="0"/>
          <w:color w:val="0F1115"/>
          <w:sz w:val="24"/>
          <w:shd w:val="clear" w:color="auto" w:fill="FFFFFF"/>
          <w:lang w:val="pt-BR"/>
        </w:rPr>
        <w:t>delírios</w:t>
      </w:r>
      <w:r>
        <w:rPr>
          <w:rFonts w:eastAsia="Segoe UI"/>
          <w:color w:val="0F1115"/>
          <w:sz w:val="24"/>
          <w:shd w:val="clear" w:color="auto" w:fill="FFFFFF"/>
          <w:lang w:val="pt-BR"/>
        </w:rPr>
        <w:t xml:space="preserve"> são </w:t>
      </w:r>
      <w:r>
        <w:rPr>
          <w:rFonts w:eastAsia="Segoe UI"/>
          <w:color w:val="0F1115"/>
          <w:sz w:val="24"/>
          <w:shd w:val="clear" w:color="auto" w:fill="FFFFFF"/>
          <w:lang w:val="pt-BR"/>
        </w:rPr>
        <w:lastRenderedPageBreak/>
        <w:t>classificados como sintomas de transtornos psicóticos. Ainda assim, o estigma cultural persiste: o delírio continua a ser o território onde a razão tropeça.</w:t>
      </w:r>
    </w:p>
    <w:p w14:paraId="37226BED" w14:textId="77777777" w:rsidR="0003312E" w:rsidRDefault="0003312E">
      <w:pPr>
        <w:pStyle w:val="NormalWeb"/>
        <w:shd w:val="clear" w:color="auto" w:fill="FFFFFF"/>
        <w:spacing w:beforeAutospacing="0" w:after="0" w:afterAutospacing="0" w:line="360" w:lineRule="auto"/>
        <w:ind w:firstLine="709"/>
        <w:jc w:val="both"/>
        <w:rPr>
          <w:rFonts w:eastAsia="Segoe UI"/>
          <w:color w:val="0F1115"/>
          <w:sz w:val="24"/>
          <w:lang w:val="pt-BR"/>
        </w:rPr>
      </w:pPr>
    </w:p>
    <w:p w14:paraId="3E933D29" w14:textId="77777777" w:rsidR="0003312E" w:rsidRDefault="00000000">
      <w:pPr>
        <w:pStyle w:val="NormalWeb"/>
        <w:shd w:val="clear" w:color="auto" w:fill="FFFFFF"/>
        <w:spacing w:beforeAutospacing="0" w:after="0" w:afterAutospacing="0" w:line="360" w:lineRule="auto"/>
        <w:ind w:firstLine="709"/>
        <w:jc w:val="both"/>
        <w:rPr>
          <w:rFonts w:eastAsia="Segoe UI"/>
          <w:color w:val="0F1115"/>
          <w:sz w:val="24"/>
          <w:lang w:val="pt-BR"/>
        </w:rPr>
      </w:pPr>
      <w:r>
        <w:rPr>
          <w:rStyle w:val="Forte"/>
          <w:rFonts w:eastAsia="Segoe UI"/>
          <w:color w:val="0F1115"/>
          <w:sz w:val="24"/>
          <w:shd w:val="clear" w:color="auto" w:fill="FFFFFF"/>
          <w:lang w:val="pt-BR"/>
        </w:rPr>
        <w:t>Quadro 6.1. A Evolução do Delírio: Do Sulco à Sinapse</w:t>
      </w:r>
    </w:p>
    <w:tbl>
      <w:tblPr>
        <w:tblW w:w="0" w:type="auto"/>
        <w:tblCellMar>
          <w:top w:w="15" w:type="dxa"/>
          <w:left w:w="15" w:type="dxa"/>
          <w:bottom w:w="15" w:type="dxa"/>
          <w:right w:w="15" w:type="dxa"/>
        </w:tblCellMar>
        <w:tblLook w:val="04A0" w:firstRow="1" w:lastRow="0" w:firstColumn="1" w:lastColumn="0" w:noHBand="0" w:noVBand="1"/>
      </w:tblPr>
      <w:tblGrid>
        <w:gridCol w:w="1161"/>
        <w:gridCol w:w="1957"/>
        <w:gridCol w:w="5953"/>
      </w:tblGrid>
      <w:tr w:rsidR="0003312E" w14:paraId="1DF024BF" w14:textId="77777777">
        <w:trPr>
          <w:tblHeader/>
        </w:trPr>
        <w:tc>
          <w:tcPr>
            <w:tcW w:w="0" w:type="auto"/>
            <w:tcBorders>
              <w:top w:val="nil"/>
            </w:tcBorders>
            <w:tcMar>
              <w:top w:w="120" w:type="dxa"/>
              <w:left w:w="0" w:type="dxa"/>
              <w:bottom w:w="120" w:type="dxa"/>
              <w:right w:w="192" w:type="dxa"/>
            </w:tcMar>
            <w:vAlign w:val="center"/>
          </w:tcPr>
          <w:p w14:paraId="319E3479" w14:textId="77777777" w:rsidR="0003312E" w:rsidRDefault="00000000">
            <w:pPr>
              <w:spacing w:after="0" w:line="240" w:lineRule="auto"/>
              <w:rPr>
                <w:rFonts w:ascii="Times New Roman" w:eastAsia="Segoe UI" w:hAnsi="Times New Roman" w:cs="Times New Roman"/>
                <w:b/>
                <w:bCs/>
                <w:sz w:val="20"/>
                <w:szCs w:val="20"/>
              </w:rPr>
            </w:pPr>
            <w:proofErr w:type="spellStart"/>
            <w:r>
              <w:rPr>
                <w:rFonts w:ascii="Times New Roman" w:eastAsia="Segoe UI" w:hAnsi="Times New Roman" w:cs="Times New Roman"/>
                <w:b/>
                <w:bCs/>
                <w:kern w:val="0"/>
                <w:sz w:val="20"/>
                <w:szCs w:val="20"/>
                <w:lang w:val="en-US" w:eastAsia="zh-CN" w:bidi="ar"/>
              </w:rPr>
              <w:t>Época</w:t>
            </w:r>
            <w:proofErr w:type="spellEnd"/>
          </w:p>
        </w:tc>
        <w:tc>
          <w:tcPr>
            <w:tcW w:w="0" w:type="auto"/>
            <w:tcBorders>
              <w:top w:val="nil"/>
            </w:tcBorders>
            <w:tcMar>
              <w:top w:w="120" w:type="dxa"/>
              <w:left w:w="192" w:type="dxa"/>
              <w:bottom w:w="120" w:type="dxa"/>
              <w:right w:w="192" w:type="dxa"/>
            </w:tcMar>
            <w:vAlign w:val="center"/>
          </w:tcPr>
          <w:p w14:paraId="1D4FD2FC" w14:textId="77777777" w:rsidR="0003312E" w:rsidRDefault="00000000">
            <w:pPr>
              <w:spacing w:after="0" w:line="240" w:lineRule="auto"/>
              <w:rPr>
                <w:rFonts w:ascii="Times New Roman" w:eastAsia="Segoe UI" w:hAnsi="Times New Roman" w:cs="Times New Roman"/>
                <w:b/>
                <w:bCs/>
                <w:sz w:val="20"/>
                <w:szCs w:val="20"/>
              </w:rPr>
            </w:pPr>
            <w:r>
              <w:rPr>
                <w:rFonts w:ascii="Times New Roman" w:eastAsia="Segoe UI" w:hAnsi="Times New Roman" w:cs="Times New Roman"/>
                <w:b/>
                <w:bCs/>
                <w:kern w:val="0"/>
                <w:sz w:val="20"/>
                <w:szCs w:val="20"/>
                <w:lang w:val="en-US" w:eastAsia="zh-CN" w:bidi="ar"/>
              </w:rPr>
              <w:t>Marco</w:t>
            </w:r>
          </w:p>
        </w:tc>
        <w:tc>
          <w:tcPr>
            <w:tcW w:w="0" w:type="auto"/>
            <w:tcBorders>
              <w:top w:val="nil"/>
            </w:tcBorders>
            <w:tcMar>
              <w:top w:w="120" w:type="dxa"/>
              <w:left w:w="192" w:type="dxa"/>
              <w:bottom w:w="120" w:type="dxa"/>
              <w:right w:w="192" w:type="dxa"/>
            </w:tcMar>
            <w:vAlign w:val="center"/>
          </w:tcPr>
          <w:p w14:paraId="1A5DDCE6" w14:textId="77777777" w:rsidR="0003312E" w:rsidRDefault="00000000">
            <w:pPr>
              <w:spacing w:after="0" w:line="240" w:lineRule="auto"/>
              <w:rPr>
                <w:rFonts w:ascii="Times New Roman" w:eastAsia="Segoe UI" w:hAnsi="Times New Roman" w:cs="Times New Roman"/>
                <w:b/>
                <w:bCs/>
                <w:sz w:val="20"/>
                <w:szCs w:val="20"/>
              </w:rPr>
            </w:pPr>
            <w:proofErr w:type="spellStart"/>
            <w:r>
              <w:rPr>
                <w:rFonts w:ascii="Times New Roman" w:eastAsia="Segoe UI" w:hAnsi="Times New Roman" w:cs="Times New Roman"/>
                <w:b/>
                <w:bCs/>
                <w:kern w:val="0"/>
                <w:sz w:val="20"/>
                <w:szCs w:val="20"/>
                <w:lang w:val="en-US" w:eastAsia="zh-CN" w:bidi="ar"/>
              </w:rPr>
              <w:t>Significado</w:t>
            </w:r>
            <w:proofErr w:type="spellEnd"/>
            <w:r>
              <w:rPr>
                <w:rFonts w:ascii="Times New Roman" w:eastAsia="Segoe UI" w:hAnsi="Times New Roman" w:cs="Times New Roman"/>
                <w:b/>
                <w:bCs/>
                <w:kern w:val="0"/>
                <w:sz w:val="20"/>
                <w:szCs w:val="20"/>
                <w:lang w:val="en-US" w:eastAsia="zh-CN" w:bidi="ar"/>
              </w:rPr>
              <w:t xml:space="preserve"> e Impacto</w:t>
            </w:r>
          </w:p>
        </w:tc>
      </w:tr>
      <w:tr w:rsidR="0003312E" w14:paraId="0C9548C2" w14:textId="77777777">
        <w:tc>
          <w:tcPr>
            <w:tcW w:w="0" w:type="auto"/>
            <w:tcMar>
              <w:top w:w="120" w:type="dxa"/>
              <w:left w:w="0" w:type="dxa"/>
              <w:bottom w:w="120" w:type="dxa"/>
              <w:right w:w="192" w:type="dxa"/>
            </w:tcMar>
            <w:vAlign w:val="center"/>
          </w:tcPr>
          <w:p w14:paraId="20BE67EA" w14:textId="77777777" w:rsidR="0003312E" w:rsidRDefault="00000000">
            <w:pPr>
              <w:spacing w:after="0" w:line="240" w:lineRule="auto"/>
              <w:rPr>
                <w:rFonts w:ascii="Times New Roman" w:eastAsia="Segoe UI" w:hAnsi="Times New Roman" w:cs="Times New Roman"/>
                <w:b/>
                <w:bCs/>
                <w:sz w:val="20"/>
                <w:szCs w:val="20"/>
              </w:rPr>
            </w:pPr>
            <w:r>
              <w:rPr>
                <w:rFonts w:ascii="Times New Roman" w:eastAsia="Segoe UI" w:hAnsi="Times New Roman" w:cs="Times New Roman"/>
                <w:b/>
                <w:bCs/>
                <w:kern w:val="0"/>
                <w:sz w:val="20"/>
                <w:szCs w:val="20"/>
                <w:lang w:val="en-US" w:eastAsia="zh-CN" w:bidi="ar"/>
              </w:rPr>
              <w:t xml:space="preserve">Roma </w:t>
            </w:r>
            <w:proofErr w:type="spellStart"/>
            <w:r>
              <w:rPr>
                <w:rFonts w:ascii="Times New Roman" w:eastAsia="Segoe UI" w:hAnsi="Times New Roman" w:cs="Times New Roman"/>
                <w:b/>
                <w:bCs/>
                <w:kern w:val="0"/>
                <w:sz w:val="20"/>
                <w:szCs w:val="20"/>
                <w:lang w:val="en-US" w:eastAsia="zh-CN" w:bidi="ar"/>
              </w:rPr>
              <w:t>Antiga</w:t>
            </w:r>
            <w:proofErr w:type="spellEnd"/>
          </w:p>
        </w:tc>
        <w:tc>
          <w:tcPr>
            <w:tcW w:w="0" w:type="auto"/>
            <w:tcMar>
              <w:top w:w="120" w:type="dxa"/>
              <w:left w:w="192" w:type="dxa"/>
              <w:bottom w:w="120" w:type="dxa"/>
              <w:right w:w="192" w:type="dxa"/>
            </w:tcMar>
            <w:vAlign w:val="center"/>
          </w:tcPr>
          <w:p w14:paraId="43A53C26" w14:textId="77777777" w:rsidR="0003312E" w:rsidRDefault="00000000">
            <w:pPr>
              <w:spacing w:after="0" w:line="240" w:lineRule="auto"/>
              <w:rPr>
                <w:rFonts w:ascii="Times New Roman" w:eastAsia="Segoe UI" w:hAnsi="Times New Roman" w:cs="Times New Roman"/>
                <w:sz w:val="20"/>
                <w:szCs w:val="20"/>
              </w:rPr>
            </w:pPr>
            <w:proofErr w:type="spellStart"/>
            <w:r>
              <w:rPr>
                <w:rStyle w:val="nfase"/>
                <w:rFonts w:ascii="Times New Roman" w:eastAsia="Segoe UI" w:hAnsi="Times New Roman" w:cs="Times New Roman"/>
                <w:kern w:val="0"/>
                <w:sz w:val="20"/>
                <w:szCs w:val="20"/>
                <w:lang w:val="en-US" w:eastAsia="zh-CN" w:bidi="ar"/>
              </w:rPr>
              <w:t>dēlīrāre</w:t>
            </w:r>
            <w:proofErr w:type="spellEnd"/>
            <w:r>
              <w:rPr>
                <w:rFonts w:ascii="Times New Roman" w:eastAsia="Segoe UI" w:hAnsi="Times New Roman" w:cs="Times New Roman"/>
                <w:kern w:val="0"/>
                <w:sz w:val="20"/>
                <w:szCs w:val="20"/>
                <w:lang w:val="en-US" w:eastAsia="zh-CN" w:bidi="ar"/>
              </w:rPr>
              <w:t> = "</w:t>
            </w:r>
            <w:proofErr w:type="spellStart"/>
            <w:r>
              <w:rPr>
                <w:rFonts w:ascii="Times New Roman" w:eastAsia="Segoe UI" w:hAnsi="Times New Roman" w:cs="Times New Roman"/>
                <w:kern w:val="0"/>
                <w:sz w:val="20"/>
                <w:szCs w:val="20"/>
                <w:lang w:val="en-US" w:eastAsia="zh-CN" w:bidi="ar"/>
              </w:rPr>
              <w:t>sair</w:t>
            </w:r>
            <w:proofErr w:type="spellEnd"/>
            <w:r>
              <w:rPr>
                <w:rFonts w:ascii="Times New Roman" w:eastAsia="Segoe UI" w:hAnsi="Times New Roman" w:cs="Times New Roman"/>
                <w:kern w:val="0"/>
                <w:sz w:val="20"/>
                <w:szCs w:val="20"/>
                <w:lang w:val="en-US" w:eastAsia="zh-CN" w:bidi="ar"/>
              </w:rPr>
              <w:t xml:space="preserve"> do </w:t>
            </w:r>
            <w:proofErr w:type="spellStart"/>
            <w:r>
              <w:rPr>
                <w:rFonts w:ascii="Times New Roman" w:eastAsia="Segoe UI" w:hAnsi="Times New Roman" w:cs="Times New Roman"/>
                <w:kern w:val="0"/>
                <w:sz w:val="20"/>
                <w:szCs w:val="20"/>
                <w:lang w:val="en-US" w:eastAsia="zh-CN" w:bidi="ar"/>
              </w:rPr>
              <w:t>sulco</w:t>
            </w:r>
            <w:proofErr w:type="spellEnd"/>
            <w:r>
              <w:rPr>
                <w:rFonts w:ascii="Times New Roman" w:eastAsia="Segoe UI" w:hAnsi="Times New Roman" w:cs="Times New Roman"/>
                <w:kern w:val="0"/>
                <w:sz w:val="20"/>
                <w:szCs w:val="20"/>
                <w:lang w:val="en-US" w:eastAsia="zh-CN" w:bidi="ar"/>
              </w:rPr>
              <w:t>"</w:t>
            </w:r>
          </w:p>
        </w:tc>
        <w:tc>
          <w:tcPr>
            <w:tcW w:w="0" w:type="auto"/>
            <w:tcMar>
              <w:top w:w="120" w:type="dxa"/>
              <w:left w:w="192" w:type="dxa"/>
              <w:bottom w:w="120" w:type="dxa"/>
              <w:right w:w="0" w:type="dxa"/>
            </w:tcMar>
            <w:vAlign w:val="center"/>
          </w:tcPr>
          <w:p w14:paraId="350143DD" w14:textId="77777777" w:rsidR="0003312E" w:rsidRDefault="00000000">
            <w:pPr>
              <w:spacing w:after="0" w:line="240" w:lineRule="auto"/>
              <w:rPr>
                <w:rFonts w:ascii="Times New Roman" w:eastAsia="Segoe UI" w:hAnsi="Times New Roman" w:cs="Times New Roman"/>
                <w:sz w:val="20"/>
                <w:szCs w:val="20"/>
              </w:rPr>
            </w:pPr>
            <w:r>
              <w:rPr>
                <w:rFonts w:ascii="Times New Roman" w:eastAsia="Segoe UI" w:hAnsi="Times New Roman" w:cs="Times New Roman"/>
                <w:kern w:val="0"/>
                <w:sz w:val="20"/>
                <w:szCs w:val="20"/>
                <w:lang w:eastAsia="zh-CN" w:bidi="ar"/>
              </w:rPr>
              <w:t>Termo agrícola que ganha sentido metafórico: pensamento que se desvia do caminho reto da lógica, ainda sem conotação patológica definida.</w:t>
            </w:r>
          </w:p>
        </w:tc>
      </w:tr>
      <w:tr w:rsidR="0003312E" w14:paraId="39A84589" w14:textId="77777777">
        <w:tc>
          <w:tcPr>
            <w:tcW w:w="0" w:type="auto"/>
            <w:tcMar>
              <w:top w:w="120" w:type="dxa"/>
              <w:left w:w="0" w:type="dxa"/>
              <w:bottom w:w="120" w:type="dxa"/>
              <w:right w:w="192" w:type="dxa"/>
            </w:tcMar>
            <w:vAlign w:val="center"/>
          </w:tcPr>
          <w:p w14:paraId="5614FB4A" w14:textId="77777777" w:rsidR="0003312E" w:rsidRDefault="00000000">
            <w:pPr>
              <w:spacing w:after="0" w:line="240" w:lineRule="auto"/>
              <w:rPr>
                <w:rFonts w:ascii="Times New Roman" w:eastAsia="Segoe UI" w:hAnsi="Times New Roman" w:cs="Times New Roman"/>
                <w:b/>
                <w:bCs/>
                <w:sz w:val="20"/>
                <w:szCs w:val="20"/>
              </w:rPr>
            </w:pPr>
            <w:proofErr w:type="spellStart"/>
            <w:r>
              <w:rPr>
                <w:rFonts w:ascii="Times New Roman" w:eastAsia="Segoe UI" w:hAnsi="Times New Roman" w:cs="Times New Roman"/>
                <w:b/>
                <w:bCs/>
                <w:kern w:val="0"/>
                <w:sz w:val="20"/>
                <w:szCs w:val="20"/>
                <w:lang w:val="en-US" w:eastAsia="zh-CN" w:bidi="ar"/>
              </w:rPr>
              <w:t>Idade</w:t>
            </w:r>
            <w:proofErr w:type="spellEnd"/>
            <w:r>
              <w:rPr>
                <w:rFonts w:ascii="Times New Roman" w:eastAsia="Segoe UI" w:hAnsi="Times New Roman" w:cs="Times New Roman"/>
                <w:b/>
                <w:bCs/>
                <w:kern w:val="0"/>
                <w:sz w:val="20"/>
                <w:szCs w:val="20"/>
                <w:lang w:val="en-US" w:eastAsia="zh-CN" w:bidi="ar"/>
              </w:rPr>
              <w:t xml:space="preserve"> </w:t>
            </w:r>
            <w:proofErr w:type="spellStart"/>
            <w:r>
              <w:rPr>
                <w:rFonts w:ascii="Times New Roman" w:eastAsia="Segoe UI" w:hAnsi="Times New Roman" w:cs="Times New Roman"/>
                <w:b/>
                <w:bCs/>
                <w:kern w:val="0"/>
                <w:sz w:val="20"/>
                <w:szCs w:val="20"/>
                <w:lang w:val="en-US" w:eastAsia="zh-CN" w:bidi="ar"/>
              </w:rPr>
              <w:t>Média</w:t>
            </w:r>
            <w:proofErr w:type="spellEnd"/>
          </w:p>
        </w:tc>
        <w:tc>
          <w:tcPr>
            <w:tcW w:w="0" w:type="auto"/>
            <w:tcMar>
              <w:top w:w="120" w:type="dxa"/>
              <w:left w:w="192" w:type="dxa"/>
              <w:bottom w:w="120" w:type="dxa"/>
              <w:right w:w="192" w:type="dxa"/>
            </w:tcMar>
            <w:vAlign w:val="center"/>
          </w:tcPr>
          <w:p w14:paraId="7DF9244A" w14:textId="77777777" w:rsidR="0003312E" w:rsidRDefault="00000000">
            <w:pPr>
              <w:spacing w:after="0" w:line="240" w:lineRule="auto"/>
              <w:rPr>
                <w:rFonts w:ascii="Times New Roman" w:eastAsia="Segoe UI" w:hAnsi="Times New Roman" w:cs="Times New Roman"/>
                <w:sz w:val="20"/>
                <w:szCs w:val="20"/>
              </w:rPr>
            </w:pPr>
            <w:proofErr w:type="spellStart"/>
            <w:r>
              <w:rPr>
                <w:rFonts w:ascii="Times New Roman" w:eastAsia="Segoe UI" w:hAnsi="Times New Roman" w:cs="Times New Roman"/>
                <w:kern w:val="0"/>
                <w:sz w:val="20"/>
                <w:szCs w:val="20"/>
                <w:lang w:val="en-US" w:eastAsia="zh-CN" w:bidi="ar"/>
              </w:rPr>
              <w:t>Delírio</w:t>
            </w:r>
            <w:proofErr w:type="spellEnd"/>
            <w:r>
              <w:rPr>
                <w:rFonts w:ascii="Times New Roman" w:eastAsia="Segoe UI" w:hAnsi="Times New Roman" w:cs="Times New Roman"/>
                <w:kern w:val="0"/>
                <w:sz w:val="20"/>
                <w:szCs w:val="20"/>
                <w:lang w:val="en-US" w:eastAsia="zh-CN" w:bidi="ar"/>
              </w:rPr>
              <w:t xml:space="preserve"> </w:t>
            </w:r>
            <w:proofErr w:type="spellStart"/>
            <w:r>
              <w:rPr>
                <w:rFonts w:ascii="Times New Roman" w:eastAsia="Segoe UI" w:hAnsi="Times New Roman" w:cs="Times New Roman"/>
                <w:kern w:val="0"/>
                <w:sz w:val="20"/>
                <w:szCs w:val="20"/>
                <w:lang w:val="en-US" w:eastAsia="zh-CN" w:bidi="ar"/>
              </w:rPr>
              <w:t>como</w:t>
            </w:r>
            <w:proofErr w:type="spellEnd"/>
            <w:r>
              <w:rPr>
                <w:rFonts w:ascii="Times New Roman" w:eastAsia="Segoe UI" w:hAnsi="Times New Roman" w:cs="Times New Roman"/>
                <w:kern w:val="0"/>
                <w:sz w:val="20"/>
                <w:szCs w:val="20"/>
                <w:lang w:val="en-US" w:eastAsia="zh-CN" w:bidi="ar"/>
              </w:rPr>
              <w:t xml:space="preserve"> </w:t>
            </w:r>
            <w:proofErr w:type="spellStart"/>
            <w:r>
              <w:rPr>
                <w:rFonts w:ascii="Times New Roman" w:eastAsia="Segoe UI" w:hAnsi="Times New Roman" w:cs="Times New Roman"/>
                <w:kern w:val="0"/>
                <w:sz w:val="20"/>
                <w:szCs w:val="20"/>
                <w:lang w:val="en-US" w:eastAsia="zh-CN" w:bidi="ar"/>
              </w:rPr>
              <w:t>possessão</w:t>
            </w:r>
            <w:proofErr w:type="spellEnd"/>
          </w:p>
        </w:tc>
        <w:tc>
          <w:tcPr>
            <w:tcW w:w="0" w:type="auto"/>
            <w:tcMar>
              <w:top w:w="120" w:type="dxa"/>
              <w:left w:w="192" w:type="dxa"/>
              <w:bottom w:w="120" w:type="dxa"/>
              <w:right w:w="0" w:type="dxa"/>
            </w:tcMar>
            <w:vAlign w:val="center"/>
          </w:tcPr>
          <w:p w14:paraId="59F225FD" w14:textId="77777777" w:rsidR="0003312E" w:rsidRDefault="00000000">
            <w:pPr>
              <w:spacing w:after="0" w:line="240" w:lineRule="auto"/>
              <w:rPr>
                <w:rFonts w:ascii="Times New Roman" w:eastAsia="Segoe UI" w:hAnsi="Times New Roman" w:cs="Times New Roman"/>
                <w:sz w:val="20"/>
                <w:szCs w:val="20"/>
              </w:rPr>
            </w:pPr>
            <w:r>
              <w:rPr>
                <w:rFonts w:ascii="Times New Roman" w:eastAsia="Segoe UI" w:hAnsi="Times New Roman" w:cs="Times New Roman"/>
                <w:kern w:val="0"/>
                <w:sz w:val="20"/>
                <w:szCs w:val="20"/>
                <w:lang w:eastAsia="zh-CN" w:bidi="ar"/>
              </w:rPr>
              <w:t xml:space="preserve">Interpretado como influência demoníaca ou êxtase divino; o louco é território de batalha espiritual. </w:t>
            </w:r>
            <w:r>
              <w:rPr>
                <w:rFonts w:ascii="Times New Roman" w:eastAsia="Segoe UI" w:hAnsi="Times New Roman" w:cs="Times New Roman"/>
                <w:kern w:val="0"/>
                <w:sz w:val="20"/>
                <w:szCs w:val="20"/>
                <w:lang w:val="en-US" w:eastAsia="zh-CN" w:bidi="ar"/>
              </w:rPr>
              <w:t xml:space="preserve">Sem </w:t>
            </w:r>
            <w:proofErr w:type="spellStart"/>
            <w:r>
              <w:rPr>
                <w:rFonts w:ascii="Times New Roman" w:eastAsia="Segoe UI" w:hAnsi="Times New Roman" w:cs="Times New Roman"/>
                <w:kern w:val="0"/>
                <w:sz w:val="20"/>
                <w:szCs w:val="20"/>
                <w:lang w:val="en-US" w:eastAsia="zh-CN" w:bidi="ar"/>
              </w:rPr>
              <w:t>tratamento</w:t>
            </w:r>
            <w:proofErr w:type="spellEnd"/>
            <w:r>
              <w:rPr>
                <w:rFonts w:ascii="Times New Roman" w:eastAsia="Segoe UI" w:hAnsi="Times New Roman" w:cs="Times New Roman"/>
                <w:kern w:val="0"/>
                <w:sz w:val="20"/>
                <w:szCs w:val="20"/>
                <w:lang w:val="en-US" w:eastAsia="zh-CN" w:bidi="ar"/>
              </w:rPr>
              <w:t xml:space="preserve"> </w:t>
            </w:r>
            <w:proofErr w:type="spellStart"/>
            <w:r>
              <w:rPr>
                <w:rFonts w:ascii="Times New Roman" w:eastAsia="Segoe UI" w:hAnsi="Times New Roman" w:cs="Times New Roman"/>
                <w:kern w:val="0"/>
                <w:sz w:val="20"/>
                <w:szCs w:val="20"/>
                <w:lang w:val="en-US" w:eastAsia="zh-CN" w:bidi="ar"/>
              </w:rPr>
              <w:t>médico</w:t>
            </w:r>
            <w:proofErr w:type="spellEnd"/>
            <w:r>
              <w:rPr>
                <w:rFonts w:ascii="Times New Roman" w:eastAsia="Segoe UI" w:hAnsi="Times New Roman" w:cs="Times New Roman"/>
                <w:kern w:val="0"/>
                <w:sz w:val="20"/>
                <w:szCs w:val="20"/>
                <w:lang w:val="en-US" w:eastAsia="zh-CN" w:bidi="ar"/>
              </w:rPr>
              <w:t xml:space="preserve">, </w:t>
            </w:r>
            <w:proofErr w:type="spellStart"/>
            <w:r>
              <w:rPr>
                <w:rFonts w:ascii="Times New Roman" w:eastAsia="Segoe UI" w:hAnsi="Times New Roman" w:cs="Times New Roman"/>
                <w:kern w:val="0"/>
                <w:sz w:val="20"/>
                <w:szCs w:val="20"/>
                <w:lang w:val="en-US" w:eastAsia="zh-CN" w:bidi="ar"/>
              </w:rPr>
              <w:t>predominam</w:t>
            </w:r>
            <w:proofErr w:type="spellEnd"/>
            <w:r>
              <w:rPr>
                <w:rFonts w:ascii="Times New Roman" w:eastAsia="Segoe UI" w:hAnsi="Times New Roman" w:cs="Times New Roman"/>
                <w:kern w:val="0"/>
                <w:sz w:val="20"/>
                <w:szCs w:val="20"/>
                <w:lang w:val="en-US" w:eastAsia="zh-CN" w:bidi="ar"/>
              </w:rPr>
              <w:t xml:space="preserve"> </w:t>
            </w:r>
            <w:proofErr w:type="spellStart"/>
            <w:r>
              <w:rPr>
                <w:rFonts w:ascii="Times New Roman" w:eastAsia="Segoe UI" w:hAnsi="Times New Roman" w:cs="Times New Roman"/>
                <w:kern w:val="0"/>
                <w:sz w:val="20"/>
                <w:szCs w:val="20"/>
                <w:lang w:val="en-US" w:eastAsia="zh-CN" w:bidi="ar"/>
              </w:rPr>
              <w:t>exorcismos</w:t>
            </w:r>
            <w:proofErr w:type="spellEnd"/>
            <w:r>
              <w:rPr>
                <w:rFonts w:ascii="Times New Roman" w:eastAsia="Segoe UI" w:hAnsi="Times New Roman" w:cs="Times New Roman"/>
                <w:kern w:val="0"/>
                <w:sz w:val="20"/>
                <w:szCs w:val="20"/>
                <w:lang w:val="en-US" w:eastAsia="zh-CN" w:bidi="ar"/>
              </w:rPr>
              <w:t xml:space="preserve"> e </w:t>
            </w:r>
            <w:proofErr w:type="spellStart"/>
            <w:r>
              <w:rPr>
                <w:rFonts w:ascii="Times New Roman" w:eastAsia="Segoe UI" w:hAnsi="Times New Roman" w:cs="Times New Roman"/>
                <w:kern w:val="0"/>
                <w:sz w:val="20"/>
                <w:szCs w:val="20"/>
                <w:lang w:val="en-US" w:eastAsia="zh-CN" w:bidi="ar"/>
              </w:rPr>
              <w:t>peregrinações</w:t>
            </w:r>
            <w:proofErr w:type="spellEnd"/>
            <w:r>
              <w:rPr>
                <w:rFonts w:ascii="Times New Roman" w:eastAsia="Segoe UI" w:hAnsi="Times New Roman" w:cs="Times New Roman"/>
                <w:kern w:val="0"/>
                <w:sz w:val="20"/>
                <w:szCs w:val="20"/>
                <w:lang w:val="en-US" w:eastAsia="zh-CN" w:bidi="ar"/>
              </w:rPr>
              <w:t>.</w:t>
            </w:r>
          </w:p>
        </w:tc>
      </w:tr>
      <w:tr w:rsidR="0003312E" w14:paraId="249D121B" w14:textId="77777777">
        <w:tc>
          <w:tcPr>
            <w:tcW w:w="0" w:type="auto"/>
            <w:tcMar>
              <w:top w:w="120" w:type="dxa"/>
              <w:left w:w="0" w:type="dxa"/>
              <w:bottom w:w="120" w:type="dxa"/>
              <w:right w:w="192" w:type="dxa"/>
            </w:tcMar>
            <w:vAlign w:val="center"/>
          </w:tcPr>
          <w:p w14:paraId="07805E75" w14:textId="77777777" w:rsidR="0003312E" w:rsidRDefault="00000000">
            <w:pPr>
              <w:spacing w:after="0" w:line="240" w:lineRule="auto"/>
              <w:rPr>
                <w:rFonts w:ascii="Times New Roman" w:eastAsia="Segoe UI" w:hAnsi="Times New Roman" w:cs="Times New Roman"/>
                <w:b/>
                <w:bCs/>
                <w:sz w:val="20"/>
                <w:szCs w:val="20"/>
              </w:rPr>
            </w:pPr>
            <w:proofErr w:type="spellStart"/>
            <w:r>
              <w:rPr>
                <w:rFonts w:ascii="Times New Roman" w:eastAsia="Segoe UI" w:hAnsi="Times New Roman" w:cs="Times New Roman"/>
                <w:b/>
                <w:bCs/>
                <w:kern w:val="0"/>
                <w:sz w:val="20"/>
                <w:szCs w:val="20"/>
                <w:lang w:val="en-US" w:eastAsia="zh-CN" w:bidi="ar"/>
              </w:rPr>
              <w:t>Séculos</w:t>
            </w:r>
            <w:proofErr w:type="spellEnd"/>
            <w:r>
              <w:rPr>
                <w:rFonts w:ascii="Times New Roman" w:eastAsia="Segoe UI" w:hAnsi="Times New Roman" w:cs="Times New Roman"/>
                <w:b/>
                <w:bCs/>
                <w:kern w:val="0"/>
                <w:sz w:val="20"/>
                <w:szCs w:val="20"/>
                <w:lang w:val="en-US" w:eastAsia="zh-CN" w:bidi="ar"/>
              </w:rPr>
              <w:t xml:space="preserve"> XVI-XVII</w:t>
            </w:r>
          </w:p>
        </w:tc>
        <w:tc>
          <w:tcPr>
            <w:tcW w:w="0" w:type="auto"/>
            <w:tcMar>
              <w:top w:w="120" w:type="dxa"/>
              <w:left w:w="192" w:type="dxa"/>
              <w:bottom w:w="120" w:type="dxa"/>
              <w:right w:w="192" w:type="dxa"/>
            </w:tcMar>
            <w:vAlign w:val="center"/>
          </w:tcPr>
          <w:p w14:paraId="62B45F21" w14:textId="77777777" w:rsidR="0003312E" w:rsidRDefault="00000000">
            <w:pPr>
              <w:spacing w:after="0" w:line="240" w:lineRule="auto"/>
              <w:rPr>
                <w:rFonts w:ascii="Times New Roman" w:eastAsia="Segoe UI" w:hAnsi="Times New Roman" w:cs="Times New Roman"/>
                <w:sz w:val="20"/>
                <w:szCs w:val="20"/>
              </w:rPr>
            </w:pPr>
            <w:proofErr w:type="spellStart"/>
            <w:r>
              <w:rPr>
                <w:rFonts w:ascii="Times New Roman" w:eastAsia="Segoe UI" w:hAnsi="Times New Roman" w:cs="Times New Roman"/>
                <w:kern w:val="0"/>
                <w:sz w:val="20"/>
                <w:szCs w:val="20"/>
                <w:lang w:val="en-US" w:eastAsia="zh-CN" w:bidi="ar"/>
              </w:rPr>
              <w:t>Primeiras</w:t>
            </w:r>
            <w:proofErr w:type="spellEnd"/>
            <w:r>
              <w:rPr>
                <w:rFonts w:ascii="Times New Roman" w:eastAsia="Segoe UI" w:hAnsi="Times New Roman" w:cs="Times New Roman"/>
                <w:kern w:val="0"/>
                <w:sz w:val="20"/>
                <w:szCs w:val="20"/>
                <w:lang w:val="en-US" w:eastAsia="zh-CN" w:bidi="ar"/>
              </w:rPr>
              <w:t xml:space="preserve"> </w:t>
            </w:r>
            <w:proofErr w:type="spellStart"/>
            <w:r>
              <w:rPr>
                <w:rFonts w:ascii="Times New Roman" w:eastAsia="Segoe UI" w:hAnsi="Times New Roman" w:cs="Times New Roman"/>
                <w:kern w:val="0"/>
                <w:sz w:val="20"/>
                <w:szCs w:val="20"/>
                <w:lang w:val="en-US" w:eastAsia="zh-CN" w:bidi="ar"/>
              </w:rPr>
              <w:t>abordagens</w:t>
            </w:r>
            <w:proofErr w:type="spellEnd"/>
            <w:r>
              <w:rPr>
                <w:rFonts w:ascii="Times New Roman" w:eastAsia="Segoe UI" w:hAnsi="Times New Roman" w:cs="Times New Roman"/>
                <w:kern w:val="0"/>
                <w:sz w:val="20"/>
                <w:szCs w:val="20"/>
                <w:lang w:val="en-US" w:eastAsia="zh-CN" w:bidi="ar"/>
              </w:rPr>
              <w:t xml:space="preserve"> </w:t>
            </w:r>
            <w:proofErr w:type="spellStart"/>
            <w:r>
              <w:rPr>
                <w:rFonts w:ascii="Times New Roman" w:eastAsia="Segoe UI" w:hAnsi="Times New Roman" w:cs="Times New Roman"/>
                <w:kern w:val="0"/>
                <w:sz w:val="20"/>
                <w:szCs w:val="20"/>
                <w:lang w:val="en-US" w:eastAsia="zh-CN" w:bidi="ar"/>
              </w:rPr>
              <w:t>médicas</w:t>
            </w:r>
            <w:proofErr w:type="spellEnd"/>
          </w:p>
        </w:tc>
        <w:tc>
          <w:tcPr>
            <w:tcW w:w="0" w:type="auto"/>
            <w:tcMar>
              <w:top w:w="120" w:type="dxa"/>
              <w:left w:w="192" w:type="dxa"/>
              <w:bottom w:w="120" w:type="dxa"/>
              <w:right w:w="0" w:type="dxa"/>
            </w:tcMar>
            <w:vAlign w:val="center"/>
          </w:tcPr>
          <w:p w14:paraId="3CB270C5" w14:textId="77777777" w:rsidR="0003312E" w:rsidRDefault="00000000">
            <w:pPr>
              <w:spacing w:after="0" w:line="240" w:lineRule="auto"/>
              <w:rPr>
                <w:rFonts w:ascii="Times New Roman" w:eastAsia="Segoe UI" w:hAnsi="Times New Roman" w:cs="Times New Roman"/>
                <w:sz w:val="20"/>
                <w:szCs w:val="20"/>
              </w:rPr>
            </w:pPr>
            <w:r>
              <w:rPr>
                <w:rFonts w:ascii="Times New Roman" w:eastAsia="Segoe UI" w:hAnsi="Times New Roman" w:cs="Times New Roman"/>
                <w:kern w:val="0"/>
                <w:sz w:val="20"/>
                <w:szCs w:val="20"/>
                <w:lang w:eastAsia="zh-CN" w:bidi="ar"/>
              </w:rPr>
              <w:t>Pedro de Heredia e outros enfatizam a importância das alterações da razão, antecipando a medicalização da loucura.</w:t>
            </w:r>
          </w:p>
        </w:tc>
      </w:tr>
      <w:tr w:rsidR="0003312E" w14:paraId="055F03E4" w14:textId="77777777">
        <w:tc>
          <w:tcPr>
            <w:tcW w:w="0" w:type="auto"/>
            <w:tcMar>
              <w:top w:w="120" w:type="dxa"/>
              <w:left w:w="0" w:type="dxa"/>
              <w:bottom w:w="120" w:type="dxa"/>
              <w:right w:w="192" w:type="dxa"/>
            </w:tcMar>
            <w:vAlign w:val="center"/>
          </w:tcPr>
          <w:p w14:paraId="38CC55CC" w14:textId="77777777" w:rsidR="0003312E" w:rsidRDefault="00000000">
            <w:pPr>
              <w:spacing w:after="0" w:line="240" w:lineRule="auto"/>
              <w:rPr>
                <w:rFonts w:ascii="Times New Roman" w:eastAsia="Segoe UI" w:hAnsi="Times New Roman" w:cs="Times New Roman"/>
                <w:b/>
                <w:bCs/>
                <w:sz w:val="20"/>
                <w:szCs w:val="20"/>
              </w:rPr>
            </w:pPr>
            <w:proofErr w:type="spellStart"/>
            <w:r>
              <w:rPr>
                <w:rFonts w:ascii="Times New Roman" w:eastAsia="Segoe UI" w:hAnsi="Times New Roman" w:cs="Times New Roman"/>
                <w:b/>
                <w:bCs/>
                <w:kern w:val="0"/>
                <w:sz w:val="20"/>
                <w:szCs w:val="20"/>
                <w:lang w:val="en-US" w:eastAsia="zh-CN" w:bidi="ar"/>
              </w:rPr>
              <w:t>Século</w:t>
            </w:r>
            <w:proofErr w:type="spellEnd"/>
            <w:r>
              <w:rPr>
                <w:rFonts w:ascii="Times New Roman" w:eastAsia="Segoe UI" w:hAnsi="Times New Roman" w:cs="Times New Roman"/>
                <w:b/>
                <w:bCs/>
                <w:kern w:val="0"/>
                <w:sz w:val="20"/>
                <w:szCs w:val="20"/>
                <w:lang w:val="en-US" w:eastAsia="zh-CN" w:bidi="ar"/>
              </w:rPr>
              <w:t xml:space="preserve"> XVIII</w:t>
            </w:r>
          </w:p>
        </w:tc>
        <w:tc>
          <w:tcPr>
            <w:tcW w:w="0" w:type="auto"/>
            <w:tcMar>
              <w:top w:w="120" w:type="dxa"/>
              <w:left w:w="192" w:type="dxa"/>
              <w:bottom w:w="120" w:type="dxa"/>
              <w:right w:w="192" w:type="dxa"/>
            </w:tcMar>
            <w:vAlign w:val="center"/>
          </w:tcPr>
          <w:p w14:paraId="12045199" w14:textId="77777777" w:rsidR="0003312E" w:rsidRDefault="00000000">
            <w:pPr>
              <w:spacing w:after="0" w:line="240" w:lineRule="auto"/>
              <w:rPr>
                <w:rFonts w:ascii="Times New Roman" w:eastAsia="Segoe UI" w:hAnsi="Times New Roman" w:cs="Times New Roman"/>
                <w:sz w:val="20"/>
                <w:szCs w:val="20"/>
              </w:rPr>
            </w:pPr>
            <w:r>
              <w:rPr>
                <w:rFonts w:ascii="Times New Roman" w:eastAsia="Segoe UI" w:hAnsi="Times New Roman" w:cs="Times New Roman"/>
                <w:kern w:val="0"/>
                <w:sz w:val="20"/>
                <w:szCs w:val="20"/>
                <w:lang w:val="en-US" w:eastAsia="zh-CN" w:bidi="ar"/>
              </w:rPr>
              <w:t>Philippe Pinel</w:t>
            </w:r>
          </w:p>
        </w:tc>
        <w:tc>
          <w:tcPr>
            <w:tcW w:w="0" w:type="auto"/>
            <w:tcMar>
              <w:top w:w="120" w:type="dxa"/>
              <w:left w:w="192" w:type="dxa"/>
              <w:bottom w:w="120" w:type="dxa"/>
              <w:right w:w="0" w:type="dxa"/>
            </w:tcMar>
            <w:vAlign w:val="center"/>
          </w:tcPr>
          <w:p w14:paraId="4ABB0FEE" w14:textId="77777777" w:rsidR="0003312E" w:rsidRDefault="00000000">
            <w:pPr>
              <w:spacing w:after="0" w:line="240" w:lineRule="auto"/>
              <w:rPr>
                <w:rFonts w:ascii="Times New Roman" w:eastAsia="Segoe UI" w:hAnsi="Times New Roman" w:cs="Times New Roman"/>
                <w:sz w:val="20"/>
                <w:szCs w:val="20"/>
              </w:rPr>
            </w:pPr>
            <w:r>
              <w:rPr>
                <w:rFonts w:ascii="Times New Roman" w:eastAsia="Segoe UI" w:hAnsi="Times New Roman" w:cs="Times New Roman"/>
                <w:kern w:val="0"/>
                <w:sz w:val="20"/>
                <w:szCs w:val="20"/>
                <w:lang w:eastAsia="zh-CN" w:bidi="ar"/>
              </w:rPr>
              <w:t>Medicalização do delírio: definido como "alienação mental". Liberta os loucos das correntes e funda a psiquiatria moderna.</w:t>
            </w:r>
          </w:p>
        </w:tc>
      </w:tr>
      <w:tr w:rsidR="0003312E" w14:paraId="5A09858D" w14:textId="77777777">
        <w:tc>
          <w:tcPr>
            <w:tcW w:w="0" w:type="auto"/>
            <w:tcMar>
              <w:top w:w="120" w:type="dxa"/>
              <w:left w:w="0" w:type="dxa"/>
              <w:bottom w:w="120" w:type="dxa"/>
              <w:right w:w="192" w:type="dxa"/>
            </w:tcMar>
            <w:vAlign w:val="center"/>
          </w:tcPr>
          <w:p w14:paraId="292500EB" w14:textId="77777777" w:rsidR="0003312E" w:rsidRDefault="00000000">
            <w:pPr>
              <w:spacing w:after="0" w:line="240" w:lineRule="auto"/>
              <w:rPr>
                <w:rFonts w:ascii="Times New Roman" w:eastAsia="Segoe UI" w:hAnsi="Times New Roman" w:cs="Times New Roman"/>
                <w:b/>
                <w:bCs/>
                <w:sz w:val="20"/>
                <w:szCs w:val="20"/>
              </w:rPr>
            </w:pPr>
            <w:proofErr w:type="spellStart"/>
            <w:r>
              <w:rPr>
                <w:rFonts w:ascii="Times New Roman" w:eastAsia="Segoe UI" w:hAnsi="Times New Roman" w:cs="Times New Roman"/>
                <w:b/>
                <w:bCs/>
                <w:kern w:val="0"/>
                <w:sz w:val="20"/>
                <w:szCs w:val="20"/>
                <w:lang w:val="en-US" w:eastAsia="zh-CN" w:bidi="ar"/>
              </w:rPr>
              <w:t>Século</w:t>
            </w:r>
            <w:proofErr w:type="spellEnd"/>
            <w:r>
              <w:rPr>
                <w:rFonts w:ascii="Times New Roman" w:eastAsia="Segoe UI" w:hAnsi="Times New Roman" w:cs="Times New Roman"/>
                <w:b/>
                <w:bCs/>
                <w:kern w:val="0"/>
                <w:sz w:val="20"/>
                <w:szCs w:val="20"/>
                <w:lang w:val="en-US" w:eastAsia="zh-CN" w:bidi="ar"/>
              </w:rPr>
              <w:t xml:space="preserve"> XIX</w:t>
            </w:r>
          </w:p>
        </w:tc>
        <w:tc>
          <w:tcPr>
            <w:tcW w:w="0" w:type="auto"/>
            <w:tcMar>
              <w:top w:w="120" w:type="dxa"/>
              <w:left w:w="192" w:type="dxa"/>
              <w:bottom w:w="120" w:type="dxa"/>
              <w:right w:w="192" w:type="dxa"/>
            </w:tcMar>
            <w:vAlign w:val="center"/>
          </w:tcPr>
          <w:p w14:paraId="0BA10EF7" w14:textId="77777777" w:rsidR="0003312E" w:rsidRDefault="00000000">
            <w:pPr>
              <w:spacing w:after="0" w:line="240" w:lineRule="auto"/>
              <w:rPr>
                <w:rFonts w:ascii="Times New Roman" w:eastAsia="Segoe UI" w:hAnsi="Times New Roman" w:cs="Times New Roman"/>
                <w:sz w:val="20"/>
                <w:szCs w:val="20"/>
              </w:rPr>
            </w:pPr>
            <w:proofErr w:type="spellStart"/>
            <w:r>
              <w:rPr>
                <w:rFonts w:ascii="Times New Roman" w:eastAsia="Segoe UI" w:hAnsi="Times New Roman" w:cs="Times New Roman"/>
                <w:kern w:val="0"/>
                <w:sz w:val="20"/>
                <w:szCs w:val="20"/>
                <w:lang w:val="en-US" w:eastAsia="zh-CN" w:bidi="ar"/>
              </w:rPr>
              <w:t>Divergência</w:t>
            </w:r>
            <w:proofErr w:type="spellEnd"/>
            <w:r>
              <w:rPr>
                <w:rFonts w:ascii="Times New Roman" w:eastAsia="Segoe UI" w:hAnsi="Times New Roman" w:cs="Times New Roman"/>
                <w:kern w:val="0"/>
                <w:sz w:val="20"/>
                <w:szCs w:val="20"/>
                <w:lang w:val="en-US" w:eastAsia="zh-CN" w:bidi="ar"/>
              </w:rPr>
              <w:t xml:space="preserve"> conceptual</w:t>
            </w:r>
          </w:p>
        </w:tc>
        <w:tc>
          <w:tcPr>
            <w:tcW w:w="0" w:type="auto"/>
            <w:tcMar>
              <w:top w:w="120" w:type="dxa"/>
              <w:left w:w="192" w:type="dxa"/>
              <w:bottom w:w="120" w:type="dxa"/>
              <w:right w:w="0" w:type="dxa"/>
            </w:tcMar>
            <w:vAlign w:val="center"/>
          </w:tcPr>
          <w:p w14:paraId="3CC7DA2B" w14:textId="77777777" w:rsidR="0003312E" w:rsidRDefault="00000000">
            <w:pPr>
              <w:spacing w:after="0" w:line="240" w:lineRule="auto"/>
              <w:rPr>
                <w:rFonts w:ascii="Times New Roman" w:eastAsia="Segoe UI" w:hAnsi="Times New Roman" w:cs="Times New Roman"/>
                <w:b/>
                <w:bCs/>
                <w:sz w:val="20"/>
                <w:szCs w:val="20"/>
              </w:rPr>
            </w:pPr>
            <w:r>
              <w:rPr>
                <w:rStyle w:val="Forte"/>
                <w:rFonts w:ascii="Times New Roman" w:eastAsia="Segoe UI" w:hAnsi="Times New Roman" w:cs="Times New Roman"/>
                <w:b w:val="0"/>
                <w:bCs w:val="0"/>
                <w:kern w:val="0"/>
                <w:sz w:val="20"/>
                <w:szCs w:val="20"/>
                <w:lang w:eastAsia="zh-CN" w:bidi="ar"/>
              </w:rPr>
              <w:t>Escola Francesa</w:t>
            </w:r>
            <w:r>
              <w:rPr>
                <w:rFonts w:ascii="Times New Roman" w:eastAsia="Segoe UI" w:hAnsi="Times New Roman" w:cs="Times New Roman"/>
                <w:kern w:val="0"/>
                <w:sz w:val="20"/>
                <w:szCs w:val="20"/>
                <w:lang w:eastAsia="zh-CN" w:bidi="ar"/>
              </w:rPr>
              <w:t>: conceção ampla do "</w:t>
            </w:r>
            <w:proofErr w:type="spellStart"/>
            <w:r>
              <w:rPr>
                <w:rFonts w:ascii="Times New Roman" w:eastAsia="Segoe UI" w:hAnsi="Times New Roman" w:cs="Times New Roman"/>
                <w:kern w:val="0"/>
                <w:sz w:val="20"/>
                <w:szCs w:val="20"/>
                <w:lang w:eastAsia="zh-CN" w:bidi="ar"/>
              </w:rPr>
              <w:t>délire</w:t>
            </w:r>
            <w:proofErr w:type="spellEnd"/>
            <w:r>
              <w:rPr>
                <w:rFonts w:ascii="Times New Roman" w:eastAsia="Segoe UI" w:hAnsi="Times New Roman" w:cs="Times New Roman"/>
                <w:kern w:val="0"/>
                <w:sz w:val="20"/>
                <w:szCs w:val="20"/>
                <w:lang w:eastAsia="zh-CN" w:bidi="ar"/>
              </w:rPr>
              <w:t>" como síndrome multidimensional</w:t>
            </w:r>
            <w:r>
              <w:rPr>
                <w:rFonts w:ascii="Times New Roman" w:eastAsia="Segoe UI" w:hAnsi="Times New Roman" w:cs="Times New Roman"/>
                <w:b/>
                <w:bCs/>
                <w:kern w:val="0"/>
                <w:sz w:val="20"/>
                <w:szCs w:val="20"/>
                <w:lang w:eastAsia="zh-CN" w:bidi="ar"/>
              </w:rPr>
              <w:t>. </w:t>
            </w:r>
            <w:r>
              <w:rPr>
                <w:rStyle w:val="Forte"/>
                <w:rFonts w:ascii="Times New Roman" w:eastAsia="Segoe UI" w:hAnsi="Times New Roman" w:cs="Times New Roman"/>
                <w:b w:val="0"/>
                <w:bCs w:val="0"/>
                <w:kern w:val="0"/>
                <w:sz w:val="20"/>
                <w:szCs w:val="20"/>
                <w:lang w:eastAsia="zh-CN" w:bidi="ar"/>
              </w:rPr>
              <w:t>Escolas Alemã e Inglesa</w:t>
            </w:r>
            <w:r>
              <w:rPr>
                <w:rFonts w:ascii="Times New Roman" w:eastAsia="Segoe UI" w:hAnsi="Times New Roman" w:cs="Times New Roman"/>
                <w:b/>
                <w:bCs/>
                <w:kern w:val="0"/>
                <w:sz w:val="20"/>
                <w:szCs w:val="20"/>
                <w:lang w:eastAsia="zh-CN" w:bidi="ar"/>
              </w:rPr>
              <w:t xml:space="preserve">: </w:t>
            </w:r>
            <w:r>
              <w:rPr>
                <w:rFonts w:ascii="Times New Roman" w:eastAsia="Segoe UI" w:hAnsi="Times New Roman" w:cs="Times New Roman"/>
                <w:kern w:val="0"/>
                <w:sz w:val="20"/>
                <w:szCs w:val="20"/>
                <w:lang w:eastAsia="zh-CN" w:bidi="ar"/>
              </w:rPr>
              <w:t>adoção de termos restritos (</w:t>
            </w:r>
            <w:proofErr w:type="spellStart"/>
            <w:r>
              <w:rPr>
                <w:rStyle w:val="nfase"/>
                <w:rFonts w:ascii="Times New Roman" w:eastAsia="Segoe UI" w:hAnsi="Times New Roman" w:cs="Times New Roman"/>
                <w:kern w:val="0"/>
                <w:sz w:val="20"/>
                <w:szCs w:val="20"/>
                <w:lang w:eastAsia="zh-CN" w:bidi="ar"/>
              </w:rPr>
              <w:t>Wahn</w:t>
            </w:r>
            <w:proofErr w:type="spellEnd"/>
            <w:r>
              <w:rPr>
                <w:rFonts w:ascii="Times New Roman" w:eastAsia="Segoe UI" w:hAnsi="Times New Roman" w:cs="Times New Roman"/>
                <w:kern w:val="0"/>
                <w:sz w:val="20"/>
                <w:szCs w:val="20"/>
                <w:lang w:eastAsia="zh-CN" w:bidi="ar"/>
              </w:rPr>
              <w:t> e </w:t>
            </w:r>
            <w:proofErr w:type="spellStart"/>
            <w:r>
              <w:rPr>
                <w:rStyle w:val="nfase"/>
                <w:rFonts w:ascii="Times New Roman" w:eastAsia="Segoe UI" w:hAnsi="Times New Roman" w:cs="Times New Roman"/>
                <w:kern w:val="0"/>
                <w:sz w:val="20"/>
                <w:szCs w:val="20"/>
                <w:lang w:eastAsia="zh-CN" w:bidi="ar"/>
              </w:rPr>
              <w:t>delusion</w:t>
            </w:r>
            <w:proofErr w:type="spellEnd"/>
            <w:r>
              <w:rPr>
                <w:rFonts w:ascii="Times New Roman" w:eastAsia="Segoe UI" w:hAnsi="Times New Roman" w:cs="Times New Roman"/>
                <w:kern w:val="0"/>
                <w:sz w:val="20"/>
                <w:szCs w:val="20"/>
                <w:lang w:eastAsia="zh-CN" w:bidi="ar"/>
              </w:rPr>
              <w:t>).</w:t>
            </w:r>
          </w:p>
        </w:tc>
      </w:tr>
      <w:tr w:rsidR="0003312E" w14:paraId="392911E3" w14:textId="77777777">
        <w:tc>
          <w:tcPr>
            <w:tcW w:w="0" w:type="auto"/>
            <w:tcMar>
              <w:top w:w="120" w:type="dxa"/>
              <w:left w:w="0" w:type="dxa"/>
              <w:bottom w:w="120" w:type="dxa"/>
              <w:right w:w="192" w:type="dxa"/>
            </w:tcMar>
            <w:vAlign w:val="center"/>
          </w:tcPr>
          <w:p w14:paraId="3A555B93" w14:textId="77777777" w:rsidR="0003312E" w:rsidRDefault="00000000">
            <w:pPr>
              <w:spacing w:after="0" w:line="240" w:lineRule="auto"/>
              <w:rPr>
                <w:rFonts w:ascii="Times New Roman" w:eastAsia="Segoe UI" w:hAnsi="Times New Roman" w:cs="Times New Roman"/>
                <w:b/>
                <w:bCs/>
                <w:sz w:val="20"/>
                <w:szCs w:val="20"/>
              </w:rPr>
            </w:pPr>
            <w:proofErr w:type="spellStart"/>
            <w:r>
              <w:rPr>
                <w:rFonts w:ascii="Times New Roman" w:eastAsia="Segoe UI" w:hAnsi="Times New Roman" w:cs="Times New Roman"/>
                <w:b/>
                <w:bCs/>
                <w:kern w:val="0"/>
                <w:sz w:val="20"/>
                <w:szCs w:val="20"/>
                <w:lang w:val="en-US" w:eastAsia="zh-CN" w:bidi="ar"/>
              </w:rPr>
              <w:t>Século</w:t>
            </w:r>
            <w:proofErr w:type="spellEnd"/>
            <w:r>
              <w:rPr>
                <w:rFonts w:ascii="Times New Roman" w:eastAsia="Segoe UI" w:hAnsi="Times New Roman" w:cs="Times New Roman"/>
                <w:b/>
                <w:bCs/>
                <w:kern w:val="0"/>
                <w:sz w:val="20"/>
                <w:szCs w:val="20"/>
                <w:lang w:val="en-US" w:eastAsia="zh-CN" w:bidi="ar"/>
              </w:rPr>
              <w:t xml:space="preserve"> XIX (Arte)</w:t>
            </w:r>
          </w:p>
        </w:tc>
        <w:tc>
          <w:tcPr>
            <w:tcW w:w="0" w:type="auto"/>
            <w:tcMar>
              <w:top w:w="120" w:type="dxa"/>
              <w:left w:w="192" w:type="dxa"/>
              <w:bottom w:w="120" w:type="dxa"/>
              <w:right w:w="192" w:type="dxa"/>
            </w:tcMar>
            <w:vAlign w:val="center"/>
          </w:tcPr>
          <w:p w14:paraId="77A6D8B6" w14:textId="77777777" w:rsidR="0003312E" w:rsidRDefault="00000000">
            <w:pPr>
              <w:spacing w:after="0" w:line="240" w:lineRule="auto"/>
              <w:rPr>
                <w:rFonts w:ascii="Times New Roman" w:eastAsia="Segoe UI" w:hAnsi="Times New Roman" w:cs="Times New Roman"/>
                <w:sz w:val="20"/>
                <w:szCs w:val="20"/>
              </w:rPr>
            </w:pPr>
            <w:r>
              <w:rPr>
                <w:rFonts w:ascii="Times New Roman" w:eastAsia="Segoe UI" w:hAnsi="Times New Roman" w:cs="Times New Roman"/>
                <w:kern w:val="0"/>
                <w:sz w:val="20"/>
                <w:szCs w:val="20"/>
                <w:lang w:val="en-US" w:eastAsia="zh-CN" w:bidi="ar"/>
              </w:rPr>
              <w:t>Vincent van Gogh</w:t>
            </w:r>
          </w:p>
        </w:tc>
        <w:tc>
          <w:tcPr>
            <w:tcW w:w="0" w:type="auto"/>
            <w:tcMar>
              <w:top w:w="120" w:type="dxa"/>
              <w:left w:w="192" w:type="dxa"/>
              <w:bottom w:w="120" w:type="dxa"/>
              <w:right w:w="0" w:type="dxa"/>
            </w:tcMar>
            <w:vAlign w:val="center"/>
          </w:tcPr>
          <w:p w14:paraId="56D4B4CD" w14:textId="77777777" w:rsidR="0003312E" w:rsidRDefault="00000000">
            <w:pPr>
              <w:spacing w:after="0" w:line="240" w:lineRule="auto"/>
              <w:rPr>
                <w:rFonts w:ascii="Times New Roman" w:eastAsia="Segoe UI" w:hAnsi="Times New Roman" w:cs="Times New Roman"/>
                <w:sz w:val="20"/>
                <w:szCs w:val="20"/>
              </w:rPr>
            </w:pPr>
            <w:r>
              <w:rPr>
                <w:rFonts w:ascii="Times New Roman" w:eastAsia="Segoe UI" w:hAnsi="Times New Roman" w:cs="Times New Roman"/>
                <w:kern w:val="0"/>
                <w:sz w:val="20"/>
                <w:szCs w:val="20"/>
                <w:lang w:eastAsia="zh-CN" w:bidi="ar"/>
              </w:rPr>
              <w:t>Tornou-se arquétipo do artista cujo delírio alimenta sua genialidade, embora esta relação seja complexa e não deva ser romantizada.</w:t>
            </w:r>
          </w:p>
        </w:tc>
      </w:tr>
      <w:tr w:rsidR="0003312E" w14:paraId="3F180DAC" w14:textId="77777777">
        <w:tc>
          <w:tcPr>
            <w:tcW w:w="0" w:type="auto"/>
            <w:tcMar>
              <w:top w:w="120" w:type="dxa"/>
              <w:left w:w="0" w:type="dxa"/>
              <w:bottom w:w="120" w:type="dxa"/>
              <w:right w:w="192" w:type="dxa"/>
            </w:tcMar>
            <w:vAlign w:val="center"/>
          </w:tcPr>
          <w:p w14:paraId="779FFD24" w14:textId="77777777" w:rsidR="0003312E" w:rsidRDefault="00000000">
            <w:pPr>
              <w:spacing w:after="0" w:line="240" w:lineRule="auto"/>
              <w:rPr>
                <w:rFonts w:ascii="Times New Roman" w:eastAsia="Segoe UI" w:hAnsi="Times New Roman" w:cs="Times New Roman"/>
                <w:b/>
                <w:bCs/>
                <w:sz w:val="20"/>
                <w:szCs w:val="20"/>
              </w:rPr>
            </w:pPr>
            <w:proofErr w:type="spellStart"/>
            <w:r>
              <w:rPr>
                <w:rFonts w:ascii="Times New Roman" w:eastAsia="Segoe UI" w:hAnsi="Times New Roman" w:cs="Times New Roman"/>
                <w:b/>
                <w:bCs/>
                <w:kern w:val="0"/>
                <w:sz w:val="20"/>
                <w:szCs w:val="20"/>
                <w:lang w:val="en-US" w:eastAsia="zh-CN" w:bidi="ar"/>
              </w:rPr>
              <w:t>Século</w:t>
            </w:r>
            <w:proofErr w:type="spellEnd"/>
            <w:r>
              <w:rPr>
                <w:rFonts w:ascii="Times New Roman" w:eastAsia="Segoe UI" w:hAnsi="Times New Roman" w:cs="Times New Roman"/>
                <w:b/>
                <w:bCs/>
                <w:kern w:val="0"/>
                <w:sz w:val="20"/>
                <w:szCs w:val="20"/>
                <w:lang w:val="en-US" w:eastAsia="zh-CN" w:bidi="ar"/>
              </w:rPr>
              <w:t xml:space="preserve"> XX</w:t>
            </w:r>
          </w:p>
        </w:tc>
        <w:tc>
          <w:tcPr>
            <w:tcW w:w="0" w:type="auto"/>
            <w:tcMar>
              <w:top w:w="120" w:type="dxa"/>
              <w:left w:w="192" w:type="dxa"/>
              <w:bottom w:w="120" w:type="dxa"/>
              <w:right w:w="192" w:type="dxa"/>
            </w:tcMar>
            <w:vAlign w:val="center"/>
          </w:tcPr>
          <w:p w14:paraId="4FBF3973" w14:textId="77777777" w:rsidR="0003312E" w:rsidRDefault="00000000">
            <w:pPr>
              <w:spacing w:after="0" w:line="240" w:lineRule="auto"/>
              <w:rPr>
                <w:rFonts w:ascii="Times New Roman" w:eastAsia="Segoe UI" w:hAnsi="Times New Roman" w:cs="Times New Roman"/>
                <w:sz w:val="20"/>
                <w:szCs w:val="20"/>
              </w:rPr>
            </w:pPr>
            <w:proofErr w:type="spellStart"/>
            <w:r>
              <w:rPr>
                <w:rFonts w:ascii="Times New Roman" w:eastAsia="Segoe UI" w:hAnsi="Times New Roman" w:cs="Times New Roman"/>
                <w:kern w:val="0"/>
                <w:sz w:val="20"/>
                <w:szCs w:val="20"/>
                <w:lang w:val="en-US" w:eastAsia="zh-CN" w:bidi="ar"/>
              </w:rPr>
              <w:t>Sistematização</w:t>
            </w:r>
            <w:proofErr w:type="spellEnd"/>
            <w:r>
              <w:rPr>
                <w:rFonts w:ascii="Times New Roman" w:eastAsia="Segoe UI" w:hAnsi="Times New Roman" w:cs="Times New Roman"/>
                <w:kern w:val="0"/>
                <w:sz w:val="20"/>
                <w:szCs w:val="20"/>
                <w:lang w:val="en-US" w:eastAsia="zh-CN" w:bidi="ar"/>
              </w:rPr>
              <w:t xml:space="preserve"> </w:t>
            </w:r>
            <w:proofErr w:type="spellStart"/>
            <w:r>
              <w:rPr>
                <w:rFonts w:ascii="Times New Roman" w:eastAsia="Segoe UI" w:hAnsi="Times New Roman" w:cs="Times New Roman"/>
                <w:kern w:val="0"/>
                <w:sz w:val="20"/>
                <w:szCs w:val="20"/>
                <w:lang w:val="en-US" w:eastAsia="zh-CN" w:bidi="ar"/>
              </w:rPr>
              <w:t>conceitual</w:t>
            </w:r>
            <w:proofErr w:type="spellEnd"/>
          </w:p>
        </w:tc>
        <w:tc>
          <w:tcPr>
            <w:tcW w:w="0" w:type="auto"/>
            <w:tcMar>
              <w:top w:w="120" w:type="dxa"/>
              <w:left w:w="192" w:type="dxa"/>
              <w:bottom w:w="120" w:type="dxa"/>
              <w:right w:w="0" w:type="dxa"/>
            </w:tcMar>
            <w:vAlign w:val="center"/>
          </w:tcPr>
          <w:p w14:paraId="760BD5DA" w14:textId="77777777" w:rsidR="0003312E" w:rsidRDefault="00000000">
            <w:pPr>
              <w:spacing w:after="0" w:line="240" w:lineRule="auto"/>
              <w:rPr>
                <w:rFonts w:ascii="Times New Roman" w:eastAsia="Segoe UI" w:hAnsi="Times New Roman" w:cs="Times New Roman"/>
                <w:sz w:val="20"/>
                <w:szCs w:val="20"/>
              </w:rPr>
            </w:pPr>
            <w:r>
              <w:rPr>
                <w:rFonts w:ascii="Times New Roman" w:eastAsia="Segoe UI" w:hAnsi="Times New Roman" w:cs="Times New Roman"/>
                <w:kern w:val="0"/>
                <w:sz w:val="20"/>
                <w:szCs w:val="20"/>
                <w:lang w:eastAsia="zh-CN" w:bidi="ar"/>
              </w:rPr>
              <w:t xml:space="preserve">Karl </w:t>
            </w:r>
            <w:proofErr w:type="spellStart"/>
            <w:r>
              <w:rPr>
                <w:rFonts w:ascii="Times New Roman" w:eastAsia="Segoe UI" w:hAnsi="Times New Roman" w:cs="Times New Roman"/>
                <w:kern w:val="0"/>
                <w:sz w:val="20"/>
                <w:szCs w:val="20"/>
                <w:lang w:eastAsia="zh-CN" w:bidi="ar"/>
              </w:rPr>
              <w:t>Jaspers</w:t>
            </w:r>
            <w:proofErr w:type="spellEnd"/>
            <w:r>
              <w:rPr>
                <w:rFonts w:ascii="Times New Roman" w:eastAsia="Segoe UI" w:hAnsi="Times New Roman" w:cs="Times New Roman"/>
                <w:kern w:val="0"/>
                <w:sz w:val="20"/>
                <w:szCs w:val="20"/>
                <w:lang w:eastAsia="zh-CN" w:bidi="ar"/>
              </w:rPr>
              <w:t xml:space="preserve"> define criteriosamente as ideias delirantes na sua Psicopatologia Geral, estabelecendo as bases da psicopatologia moderna.</w:t>
            </w:r>
          </w:p>
        </w:tc>
      </w:tr>
      <w:tr w:rsidR="0003312E" w14:paraId="1061C53F" w14:textId="77777777">
        <w:tc>
          <w:tcPr>
            <w:tcW w:w="0" w:type="auto"/>
            <w:tcMar>
              <w:top w:w="120" w:type="dxa"/>
              <w:left w:w="0" w:type="dxa"/>
              <w:bottom w:w="120" w:type="dxa"/>
              <w:right w:w="192" w:type="dxa"/>
            </w:tcMar>
            <w:vAlign w:val="center"/>
          </w:tcPr>
          <w:p w14:paraId="18D15488" w14:textId="77777777" w:rsidR="0003312E" w:rsidRDefault="00000000">
            <w:pPr>
              <w:spacing w:after="0" w:line="240" w:lineRule="auto"/>
              <w:rPr>
                <w:rFonts w:ascii="Times New Roman" w:eastAsia="Segoe UI" w:hAnsi="Times New Roman" w:cs="Times New Roman"/>
                <w:b/>
                <w:bCs/>
                <w:sz w:val="20"/>
                <w:szCs w:val="20"/>
              </w:rPr>
            </w:pPr>
            <w:proofErr w:type="spellStart"/>
            <w:r>
              <w:rPr>
                <w:rFonts w:ascii="Times New Roman" w:eastAsia="Segoe UI" w:hAnsi="Times New Roman" w:cs="Times New Roman"/>
                <w:b/>
                <w:bCs/>
                <w:kern w:val="0"/>
                <w:sz w:val="20"/>
                <w:szCs w:val="20"/>
                <w:lang w:val="en-US" w:eastAsia="zh-CN" w:bidi="ar"/>
              </w:rPr>
              <w:t>Século</w:t>
            </w:r>
            <w:proofErr w:type="spellEnd"/>
            <w:r>
              <w:rPr>
                <w:rFonts w:ascii="Times New Roman" w:eastAsia="Segoe UI" w:hAnsi="Times New Roman" w:cs="Times New Roman"/>
                <w:b/>
                <w:bCs/>
                <w:kern w:val="0"/>
                <w:sz w:val="20"/>
                <w:szCs w:val="20"/>
                <w:lang w:val="en-US" w:eastAsia="zh-CN" w:bidi="ar"/>
              </w:rPr>
              <w:t xml:space="preserve"> XX/XXI</w:t>
            </w:r>
          </w:p>
        </w:tc>
        <w:tc>
          <w:tcPr>
            <w:tcW w:w="0" w:type="auto"/>
            <w:tcMar>
              <w:top w:w="120" w:type="dxa"/>
              <w:left w:w="192" w:type="dxa"/>
              <w:bottom w:w="120" w:type="dxa"/>
              <w:right w:w="192" w:type="dxa"/>
            </w:tcMar>
            <w:vAlign w:val="center"/>
          </w:tcPr>
          <w:p w14:paraId="31A49F1A" w14:textId="77777777" w:rsidR="0003312E" w:rsidRDefault="00000000">
            <w:pPr>
              <w:spacing w:after="0" w:line="240" w:lineRule="auto"/>
              <w:rPr>
                <w:rFonts w:ascii="Times New Roman" w:eastAsia="Segoe UI" w:hAnsi="Times New Roman" w:cs="Times New Roman"/>
                <w:sz w:val="20"/>
                <w:szCs w:val="20"/>
              </w:rPr>
            </w:pPr>
            <w:r>
              <w:rPr>
                <w:rFonts w:ascii="Times New Roman" w:eastAsia="Segoe UI" w:hAnsi="Times New Roman" w:cs="Times New Roman"/>
                <w:kern w:val="0"/>
                <w:sz w:val="20"/>
                <w:szCs w:val="20"/>
                <w:lang w:val="en-US" w:eastAsia="zh-CN" w:bidi="ar"/>
              </w:rPr>
              <w:t>DSM-5</w:t>
            </w:r>
          </w:p>
        </w:tc>
        <w:tc>
          <w:tcPr>
            <w:tcW w:w="0" w:type="auto"/>
            <w:tcMar>
              <w:top w:w="120" w:type="dxa"/>
              <w:left w:w="192" w:type="dxa"/>
              <w:bottom w:w="120" w:type="dxa"/>
              <w:right w:w="0" w:type="dxa"/>
            </w:tcMar>
            <w:vAlign w:val="center"/>
          </w:tcPr>
          <w:p w14:paraId="13787D0B" w14:textId="77777777" w:rsidR="0003312E" w:rsidRDefault="00000000">
            <w:pPr>
              <w:spacing w:after="0" w:line="240" w:lineRule="auto"/>
              <w:rPr>
                <w:rFonts w:ascii="Times New Roman" w:eastAsia="Segoe UI" w:hAnsi="Times New Roman" w:cs="Times New Roman"/>
                <w:sz w:val="20"/>
                <w:szCs w:val="20"/>
              </w:rPr>
            </w:pPr>
            <w:r>
              <w:rPr>
                <w:rFonts w:ascii="Times New Roman" w:eastAsia="Segoe UI" w:hAnsi="Times New Roman" w:cs="Times New Roman"/>
                <w:kern w:val="0"/>
                <w:sz w:val="20"/>
                <w:szCs w:val="20"/>
                <w:lang w:eastAsia="zh-CN" w:bidi="ar"/>
              </w:rPr>
              <w:t>Diferencia </w:t>
            </w:r>
            <w:r>
              <w:rPr>
                <w:rStyle w:val="nfase"/>
                <w:rFonts w:ascii="Times New Roman" w:eastAsia="Segoe UI" w:hAnsi="Times New Roman" w:cs="Times New Roman"/>
                <w:kern w:val="0"/>
                <w:sz w:val="20"/>
                <w:szCs w:val="20"/>
                <w:lang w:eastAsia="zh-CN" w:bidi="ar"/>
              </w:rPr>
              <w:t>delirium</w:t>
            </w:r>
            <w:r>
              <w:rPr>
                <w:rFonts w:ascii="Times New Roman" w:eastAsia="Segoe UI" w:hAnsi="Times New Roman" w:cs="Times New Roman"/>
                <w:kern w:val="0"/>
                <w:sz w:val="20"/>
                <w:szCs w:val="20"/>
                <w:lang w:eastAsia="zh-CN" w:bidi="ar"/>
              </w:rPr>
              <w:t xml:space="preserve"> (transtorno </w:t>
            </w:r>
            <w:proofErr w:type="spellStart"/>
            <w:r>
              <w:rPr>
                <w:rFonts w:ascii="Times New Roman" w:eastAsia="Segoe UI" w:hAnsi="Times New Roman" w:cs="Times New Roman"/>
                <w:kern w:val="0"/>
                <w:sz w:val="20"/>
                <w:szCs w:val="20"/>
                <w:lang w:eastAsia="zh-CN" w:bidi="ar"/>
              </w:rPr>
              <w:t>neurocognitivo</w:t>
            </w:r>
            <w:proofErr w:type="spellEnd"/>
            <w:r>
              <w:rPr>
                <w:rFonts w:ascii="Times New Roman" w:eastAsia="Segoe UI" w:hAnsi="Times New Roman" w:cs="Times New Roman"/>
                <w:kern w:val="0"/>
                <w:sz w:val="20"/>
                <w:szCs w:val="20"/>
                <w:lang w:eastAsia="zh-CN" w:bidi="ar"/>
              </w:rPr>
              <w:t xml:space="preserve"> agudo) de </w:t>
            </w:r>
            <w:r>
              <w:rPr>
                <w:rStyle w:val="nfase"/>
                <w:rFonts w:ascii="Times New Roman" w:eastAsia="Segoe UI" w:hAnsi="Times New Roman" w:cs="Times New Roman"/>
                <w:kern w:val="0"/>
                <w:sz w:val="20"/>
                <w:szCs w:val="20"/>
                <w:lang w:eastAsia="zh-CN" w:bidi="ar"/>
              </w:rPr>
              <w:t>delírios</w:t>
            </w:r>
            <w:r>
              <w:rPr>
                <w:rFonts w:ascii="Times New Roman" w:eastAsia="Segoe UI" w:hAnsi="Times New Roman" w:cs="Times New Roman"/>
                <w:kern w:val="0"/>
                <w:sz w:val="20"/>
                <w:szCs w:val="20"/>
                <w:lang w:eastAsia="zh-CN" w:bidi="ar"/>
              </w:rPr>
              <w:t> (sintomas de transtornos psicóticos).</w:t>
            </w:r>
          </w:p>
        </w:tc>
      </w:tr>
      <w:tr w:rsidR="0003312E" w14:paraId="2E41E323" w14:textId="77777777">
        <w:tc>
          <w:tcPr>
            <w:tcW w:w="0" w:type="auto"/>
            <w:tcMar>
              <w:top w:w="120" w:type="dxa"/>
              <w:left w:w="0" w:type="dxa"/>
              <w:bottom w:w="120" w:type="dxa"/>
              <w:right w:w="192" w:type="dxa"/>
            </w:tcMar>
            <w:vAlign w:val="center"/>
          </w:tcPr>
          <w:p w14:paraId="11D8C8D9" w14:textId="77777777" w:rsidR="0003312E" w:rsidRDefault="00000000">
            <w:pPr>
              <w:spacing w:after="0" w:line="240" w:lineRule="auto"/>
              <w:rPr>
                <w:rFonts w:ascii="Times New Roman" w:eastAsia="Segoe UI" w:hAnsi="Times New Roman" w:cs="Times New Roman"/>
                <w:b/>
                <w:bCs/>
                <w:sz w:val="20"/>
                <w:szCs w:val="20"/>
              </w:rPr>
            </w:pPr>
            <w:proofErr w:type="spellStart"/>
            <w:r>
              <w:rPr>
                <w:rFonts w:ascii="Times New Roman" w:eastAsia="Segoe UI" w:hAnsi="Times New Roman" w:cs="Times New Roman"/>
                <w:b/>
                <w:bCs/>
                <w:kern w:val="0"/>
                <w:sz w:val="20"/>
                <w:szCs w:val="20"/>
                <w:lang w:val="en-US" w:eastAsia="zh-CN" w:bidi="ar"/>
              </w:rPr>
              <w:t>Século</w:t>
            </w:r>
            <w:proofErr w:type="spellEnd"/>
            <w:r>
              <w:rPr>
                <w:rFonts w:ascii="Times New Roman" w:eastAsia="Segoe UI" w:hAnsi="Times New Roman" w:cs="Times New Roman"/>
                <w:b/>
                <w:bCs/>
                <w:kern w:val="0"/>
                <w:sz w:val="20"/>
                <w:szCs w:val="20"/>
                <w:lang w:val="en-US" w:eastAsia="zh-CN" w:bidi="ar"/>
              </w:rPr>
              <w:t xml:space="preserve"> XXI</w:t>
            </w:r>
          </w:p>
        </w:tc>
        <w:tc>
          <w:tcPr>
            <w:tcW w:w="0" w:type="auto"/>
            <w:tcMar>
              <w:top w:w="120" w:type="dxa"/>
              <w:left w:w="192" w:type="dxa"/>
              <w:bottom w:w="120" w:type="dxa"/>
              <w:right w:w="192" w:type="dxa"/>
            </w:tcMar>
            <w:vAlign w:val="center"/>
          </w:tcPr>
          <w:p w14:paraId="449DE0D5" w14:textId="77777777" w:rsidR="0003312E" w:rsidRDefault="00000000">
            <w:pPr>
              <w:spacing w:after="0" w:line="240" w:lineRule="auto"/>
              <w:rPr>
                <w:rFonts w:ascii="Times New Roman" w:eastAsia="Segoe UI" w:hAnsi="Times New Roman" w:cs="Times New Roman"/>
                <w:sz w:val="20"/>
                <w:szCs w:val="20"/>
              </w:rPr>
            </w:pPr>
            <w:r>
              <w:rPr>
                <w:rFonts w:ascii="Times New Roman" w:eastAsia="Segoe UI" w:hAnsi="Times New Roman" w:cs="Times New Roman"/>
                <w:kern w:val="0"/>
                <w:sz w:val="20"/>
                <w:szCs w:val="20"/>
                <w:lang w:val="en-US" w:eastAsia="zh-CN" w:bidi="ar"/>
              </w:rPr>
              <w:t xml:space="preserve">Pesquisa </w:t>
            </w:r>
            <w:proofErr w:type="spellStart"/>
            <w:r>
              <w:rPr>
                <w:rFonts w:ascii="Times New Roman" w:eastAsia="Segoe UI" w:hAnsi="Times New Roman" w:cs="Times New Roman"/>
                <w:kern w:val="0"/>
                <w:sz w:val="20"/>
                <w:szCs w:val="20"/>
                <w:lang w:val="en-US" w:eastAsia="zh-CN" w:bidi="ar"/>
              </w:rPr>
              <w:t>em</w:t>
            </w:r>
            <w:proofErr w:type="spellEnd"/>
            <w:r>
              <w:rPr>
                <w:rFonts w:ascii="Times New Roman" w:eastAsia="Segoe UI" w:hAnsi="Times New Roman" w:cs="Times New Roman"/>
                <w:kern w:val="0"/>
                <w:sz w:val="20"/>
                <w:szCs w:val="20"/>
                <w:lang w:val="en-US" w:eastAsia="zh-CN" w:bidi="ar"/>
              </w:rPr>
              <w:t xml:space="preserve"> </w:t>
            </w:r>
            <w:proofErr w:type="spellStart"/>
            <w:r>
              <w:rPr>
                <w:rFonts w:ascii="Times New Roman" w:eastAsia="Segoe UI" w:hAnsi="Times New Roman" w:cs="Times New Roman"/>
                <w:kern w:val="0"/>
                <w:sz w:val="20"/>
                <w:szCs w:val="20"/>
                <w:lang w:val="en-US" w:eastAsia="zh-CN" w:bidi="ar"/>
              </w:rPr>
              <w:t>Neurociência</w:t>
            </w:r>
            <w:proofErr w:type="spellEnd"/>
          </w:p>
        </w:tc>
        <w:tc>
          <w:tcPr>
            <w:tcW w:w="0" w:type="auto"/>
            <w:tcMar>
              <w:top w:w="120" w:type="dxa"/>
              <w:left w:w="192" w:type="dxa"/>
              <w:bottom w:w="120" w:type="dxa"/>
              <w:right w:w="0" w:type="dxa"/>
            </w:tcMar>
            <w:vAlign w:val="center"/>
          </w:tcPr>
          <w:p w14:paraId="77C72776" w14:textId="77777777" w:rsidR="0003312E" w:rsidRDefault="00000000">
            <w:pPr>
              <w:spacing w:after="0" w:line="240" w:lineRule="auto"/>
              <w:rPr>
                <w:rFonts w:ascii="Times New Roman" w:eastAsia="Segoe UI" w:hAnsi="Times New Roman" w:cs="Times New Roman"/>
                <w:sz w:val="20"/>
                <w:szCs w:val="20"/>
              </w:rPr>
            </w:pPr>
            <w:r>
              <w:rPr>
                <w:rFonts w:ascii="Times New Roman" w:eastAsia="Segoe UI" w:hAnsi="Times New Roman" w:cs="Times New Roman"/>
                <w:kern w:val="0"/>
                <w:sz w:val="20"/>
                <w:szCs w:val="20"/>
                <w:lang w:eastAsia="zh-CN" w:bidi="ar"/>
              </w:rPr>
              <w:t>Estudos de neuroimagem e neuroquímica investigam disfunções em redes corticais e neurotransmissores, unindo a metáfora do "sulco" à realidade da "sinapse".</w:t>
            </w:r>
          </w:p>
        </w:tc>
      </w:tr>
    </w:tbl>
    <w:p w14:paraId="30B38690" w14:textId="77777777" w:rsidR="0003312E" w:rsidRDefault="0003312E">
      <w:pPr>
        <w:pStyle w:val="NormalWeb"/>
        <w:shd w:val="clear" w:color="auto" w:fill="FFFFFF"/>
        <w:spacing w:beforeAutospacing="0" w:after="0" w:afterAutospacing="0" w:line="360" w:lineRule="auto"/>
        <w:ind w:firstLine="709"/>
        <w:jc w:val="both"/>
        <w:rPr>
          <w:rStyle w:val="Forte"/>
          <w:rFonts w:eastAsia="Segoe UI"/>
          <w:color w:val="0F1115"/>
          <w:sz w:val="24"/>
          <w:shd w:val="clear" w:color="auto" w:fill="FFFFFF"/>
          <w:lang w:val="pt-BR"/>
        </w:rPr>
      </w:pPr>
    </w:p>
    <w:p w14:paraId="723E1BC6" w14:textId="77777777" w:rsidR="0003312E" w:rsidRDefault="00000000">
      <w:pPr>
        <w:pStyle w:val="NormalWeb"/>
        <w:shd w:val="clear" w:color="auto" w:fill="FFFFFF"/>
        <w:spacing w:beforeAutospacing="0" w:after="0" w:afterAutospacing="0" w:line="360" w:lineRule="auto"/>
        <w:ind w:firstLine="709"/>
        <w:jc w:val="both"/>
        <w:rPr>
          <w:rFonts w:eastAsia="Segoe UI"/>
          <w:color w:val="0F1115"/>
          <w:sz w:val="24"/>
          <w:lang w:val="pt-BR"/>
        </w:rPr>
      </w:pPr>
      <w:r>
        <w:rPr>
          <w:rStyle w:val="Forte"/>
          <w:rFonts w:eastAsia="Segoe UI"/>
          <w:color w:val="0F1115"/>
          <w:sz w:val="24"/>
          <w:shd w:val="clear" w:color="auto" w:fill="FFFFFF"/>
          <w:lang w:val="pt-BR"/>
        </w:rPr>
        <w:t>Em Essência: as Quatro Dimensões do Delírio</w:t>
      </w:r>
    </w:p>
    <w:p w14:paraId="53BC767C" w14:textId="77777777" w:rsidR="0003312E" w:rsidRDefault="00000000">
      <w:pPr>
        <w:pStyle w:val="NormalWeb"/>
        <w:shd w:val="clear" w:color="auto" w:fill="FFFFFF"/>
        <w:spacing w:beforeAutospacing="0" w:after="0" w:afterAutospacing="0" w:line="360" w:lineRule="auto"/>
        <w:ind w:firstLine="709"/>
        <w:jc w:val="both"/>
        <w:rPr>
          <w:rFonts w:eastAsia="Segoe UI"/>
          <w:color w:val="0F1115"/>
          <w:sz w:val="24"/>
          <w:shd w:val="clear" w:color="auto" w:fill="FFFFFF"/>
          <w:lang w:val="pt-BR"/>
        </w:rPr>
      </w:pPr>
      <w:r>
        <w:rPr>
          <w:rStyle w:val="Forte"/>
          <w:rFonts w:eastAsia="Segoe UI"/>
          <w:color w:val="0F1115"/>
          <w:sz w:val="24"/>
          <w:shd w:val="clear" w:color="auto" w:fill="FFFFFF"/>
          <w:lang w:val="pt-BR"/>
        </w:rPr>
        <w:t>1. A Dimensão Etimológica: Sair do Sulco</w:t>
      </w:r>
      <w:r>
        <w:rPr>
          <w:rFonts w:eastAsia="Segoe UI"/>
          <w:color w:val="0F1115"/>
          <w:sz w:val="24"/>
          <w:shd w:val="clear" w:color="auto" w:fill="FFFFFF"/>
          <w:lang w:val="pt-BR"/>
        </w:rPr>
        <w:br/>
        <w:t>A palavra "delírio" carrega em si uma das metáforas mais precisas da psicopatologia: vem do latim </w:t>
      </w:r>
      <w:proofErr w:type="spellStart"/>
      <w:r>
        <w:rPr>
          <w:rStyle w:val="nfase"/>
          <w:rFonts w:eastAsia="Segoe UI"/>
          <w:i w:val="0"/>
          <w:iCs w:val="0"/>
          <w:color w:val="0F1115"/>
          <w:sz w:val="24"/>
          <w:shd w:val="clear" w:color="auto" w:fill="FFFFFF"/>
          <w:lang w:val="pt-BR"/>
        </w:rPr>
        <w:t>delirare</w:t>
      </w:r>
      <w:proofErr w:type="spellEnd"/>
      <w:r>
        <w:rPr>
          <w:rFonts w:eastAsia="Segoe UI"/>
          <w:color w:val="0F1115"/>
          <w:sz w:val="24"/>
          <w:shd w:val="clear" w:color="auto" w:fill="FFFFFF"/>
          <w:lang w:val="pt-BR"/>
        </w:rPr>
        <w:t>, que significa literalmente "sair do sulco". Esta imagem agrícola do arado que se desvia do caminho reto captura perfeitamente a essência do pensamento delirante - não se trata apenas de ter ideias erradas, mas de todo o processo cognitivo ter saído dos trilhos.</w:t>
      </w:r>
    </w:p>
    <w:p w14:paraId="001A611F" w14:textId="77777777" w:rsidR="0003312E" w:rsidRDefault="0003312E">
      <w:pPr>
        <w:pStyle w:val="NormalWeb"/>
        <w:shd w:val="clear" w:color="auto" w:fill="FFFFFF"/>
        <w:spacing w:beforeAutospacing="0" w:after="0" w:afterAutospacing="0" w:line="360" w:lineRule="auto"/>
        <w:ind w:firstLine="709"/>
        <w:jc w:val="both"/>
        <w:rPr>
          <w:rFonts w:eastAsia="Segoe UI"/>
          <w:color w:val="0F1115"/>
          <w:sz w:val="24"/>
          <w:lang w:val="pt-BR"/>
        </w:rPr>
      </w:pPr>
    </w:p>
    <w:p w14:paraId="0F0C8F39" w14:textId="77777777" w:rsidR="0003312E" w:rsidRDefault="00000000">
      <w:pPr>
        <w:pStyle w:val="NormalWeb"/>
        <w:shd w:val="clear" w:color="auto" w:fill="FFFFFF"/>
        <w:spacing w:beforeAutospacing="0" w:after="0" w:afterAutospacing="0" w:line="360" w:lineRule="auto"/>
        <w:ind w:firstLine="709"/>
        <w:jc w:val="both"/>
        <w:rPr>
          <w:rFonts w:eastAsia="Segoe UI"/>
          <w:color w:val="0F1115"/>
          <w:sz w:val="24"/>
          <w:lang w:val="pt-BR"/>
        </w:rPr>
      </w:pPr>
      <w:r>
        <w:rPr>
          <w:rStyle w:val="Forte"/>
          <w:rFonts w:eastAsia="Segoe UI"/>
          <w:color w:val="0F1115"/>
          <w:sz w:val="24"/>
          <w:shd w:val="clear" w:color="auto" w:fill="FFFFFF"/>
          <w:lang w:val="pt-BR"/>
        </w:rPr>
        <w:t>2. A Dimensão Histórico-Clínica: Da Possessão à Psicose</w:t>
      </w:r>
      <w:r>
        <w:rPr>
          <w:rFonts w:eastAsia="Segoe UI"/>
          <w:color w:val="0F1115"/>
          <w:sz w:val="24"/>
          <w:shd w:val="clear" w:color="auto" w:fill="FFFFFF"/>
          <w:lang w:val="pt-BR"/>
        </w:rPr>
        <w:br/>
        <w:t xml:space="preserve">A compreensão do delírio percorreu uma jornada histórica que reflete a própria evolução da </w:t>
      </w:r>
      <w:r>
        <w:rPr>
          <w:rFonts w:eastAsia="Segoe UI"/>
          <w:color w:val="0F1115"/>
          <w:sz w:val="24"/>
          <w:shd w:val="clear" w:color="auto" w:fill="FFFFFF"/>
          <w:lang w:val="pt-BR"/>
        </w:rPr>
        <w:lastRenderedPageBreak/>
        <w:t>psiquiatria, partindo de uma visão sobrenatural na Idade Média para uma conceção médica, ainda que marcada por divergências significativas entre as escolas francesa e anglo-germânica. Esta tensão conceptual só viria a ser resolvida com a sistematização do século XX, que permitiu diferenciar claramente o delirium agudo dos delírios psicóticos.</w:t>
      </w:r>
    </w:p>
    <w:p w14:paraId="6FDF3095" w14:textId="77777777" w:rsidR="0003312E" w:rsidRDefault="00000000">
      <w:pPr>
        <w:pStyle w:val="NormalWeb"/>
        <w:shd w:val="clear" w:color="auto" w:fill="FFFFFF"/>
        <w:spacing w:beforeAutospacing="0" w:after="0" w:afterAutospacing="0" w:line="360" w:lineRule="auto"/>
        <w:ind w:firstLine="709"/>
        <w:jc w:val="both"/>
        <w:rPr>
          <w:rFonts w:eastAsia="Segoe UI"/>
          <w:color w:val="0F1115"/>
          <w:sz w:val="24"/>
          <w:lang w:val="pt-BR"/>
        </w:rPr>
      </w:pPr>
      <w:r>
        <w:rPr>
          <w:rFonts w:eastAsia="Segoe UI"/>
          <w:color w:val="0F1115"/>
          <w:sz w:val="24"/>
          <w:shd w:val="clear" w:color="auto" w:fill="FFFFFF"/>
          <w:lang w:val="pt-BR"/>
        </w:rPr>
        <w:t>A antiguidade deste conceito é atestada pela sua presença no léxico latino, nomeadamente nos textos médicos de Celso, "De Medicina" (LEWIS; SHORT, 1879). A análise das ocorrências revela que o "delirium" era então descrito como um sintoma clínico com etiologias específicas. Celso associa-o explicitamente a traumatismos cranianos, observando "</w:t>
      </w:r>
      <w:proofErr w:type="spellStart"/>
      <w:r>
        <w:rPr>
          <w:rFonts w:eastAsia="Segoe UI"/>
          <w:color w:val="0F1115"/>
          <w:sz w:val="24"/>
          <w:shd w:val="clear" w:color="auto" w:fill="FFFFFF"/>
          <w:lang w:val="pt-BR"/>
        </w:rPr>
        <w:t>ubi</w:t>
      </w:r>
      <w:proofErr w:type="spellEnd"/>
      <w:r>
        <w:rPr>
          <w:rFonts w:eastAsia="Segoe UI"/>
          <w:color w:val="0F1115"/>
          <w:sz w:val="24"/>
          <w:shd w:val="clear" w:color="auto" w:fill="FFFFFF"/>
          <w:lang w:val="pt-BR"/>
        </w:rPr>
        <w:t xml:space="preserve"> caput </w:t>
      </w:r>
      <w:proofErr w:type="spellStart"/>
      <w:r>
        <w:rPr>
          <w:rFonts w:eastAsia="Segoe UI"/>
          <w:color w:val="0F1115"/>
          <w:sz w:val="24"/>
          <w:shd w:val="clear" w:color="auto" w:fill="FFFFFF"/>
          <w:lang w:val="pt-BR"/>
        </w:rPr>
        <w:t>vulneratum</w:t>
      </w:r>
      <w:proofErr w:type="spellEnd"/>
      <w:r>
        <w:rPr>
          <w:rFonts w:eastAsia="Segoe UI"/>
          <w:color w:val="0F1115"/>
          <w:sz w:val="24"/>
          <w:shd w:val="clear" w:color="auto" w:fill="FFFFFF"/>
          <w:lang w:val="pt-BR"/>
        </w:rPr>
        <w:t xml:space="preserve"> est, delirium" (onde a cabeça foi ferida, há delírio). A sua inclusão entre outros sinais graves, como vómito e soluço, sugere que era considerado um indicador de prognóstico reservado. Para além do contexto médico, o termo já aparecia usado no registo satírico, como atesta Gregório de Veneza, que utiliza "delirium" para qualificar um </w:t>
      </w:r>
      <w:proofErr w:type="spellStart"/>
      <w:r>
        <w:rPr>
          <w:rFonts w:eastAsia="Segoe UI"/>
          <w:color w:val="0F1115"/>
          <w:sz w:val="24"/>
          <w:shd w:val="clear" w:color="auto" w:fill="FFFFFF"/>
          <w:lang w:val="pt-BR"/>
        </w:rPr>
        <w:t>acto</w:t>
      </w:r>
      <w:proofErr w:type="spellEnd"/>
      <w:r>
        <w:rPr>
          <w:rFonts w:eastAsia="Segoe UI"/>
          <w:color w:val="0F1115"/>
          <w:sz w:val="24"/>
          <w:shd w:val="clear" w:color="auto" w:fill="FFFFFF"/>
          <w:lang w:val="pt-BR"/>
        </w:rPr>
        <w:t xml:space="preserve"> insensato, demonstrando a sua permeação no léxico geral como sinónimo de loucura ou irracionalidade.</w:t>
      </w:r>
    </w:p>
    <w:p w14:paraId="6057B926" w14:textId="77777777" w:rsidR="0003312E" w:rsidRDefault="0003312E">
      <w:pPr>
        <w:pStyle w:val="NormalWeb"/>
        <w:shd w:val="clear" w:color="auto" w:fill="FFFFFF"/>
        <w:spacing w:beforeAutospacing="0" w:after="0" w:afterAutospacing="0" w:line="360" w:lineRule="auto"/>
        <w:ind w:firstLine="709"/>
        <w:jc w:val="both"/>
        <w:rPr>
          <w:rFonts w:eastAsia="Segoe UI"/>
          <w:color w:val="0F1115"/>
          <w:sz w:val="24"/>
          <w:shd w:val="clear" w:color="auto" w:fill="FFFFFF"/>
          <w:lang w:val="pt-BR"/>
        </w:rPr>
      </w:pPr>
    </w:p>
    <w:p w14:paraId="2066BDF3" w14:textId="77777777" w:rsidR="0003312E" w:rsidRDefault="00000000">
      <w:pPr>
        <w:pStyle w:val="NormalWeb"/>
        <w:shd w:val="clear" w:color="auto" w:fill="FFFFFF"/>
        <w:spacing w:beforeAutospacing="0" w:after="0" w:afterAutospacing="0" w:line="360" w:lineRule="auto"/>
        <w:ind w:firstLine="709"/>
        <w:jc w:val="both"/>
        <w:rPr>
          <w:rFonts w:eastAsia="Segoe UI"/>
          <w:color w:val="0F1115"/>
          <w:sz w:val="24"/>
          <w:shd w:val="clear" w:color="auto" w:fill="FFFFFF"/>
          <w:lang w:val="pt-BR"/>
        </w:rPr>
      </w:pPr>
      <w:r>
        <w:rPr>
          <w:rStyle w:val="Forte"/>
          <w:rFonts w:eastAsia="Segoe UI"/>
          <w:color w:val="0F1115"/>
          <w:sz w:val="24"/>
          <w:shd w:val="clear" w:color="auto" w:fill="FFFFFF"/>
          <w:lang w:val="pt-BR"/>
        </w:rPr>
        <w:t>3. A Dimensão Neurocientífica: A Desconexão Cognitiva</w:t>
      </w:r>
      <w:r>
        <w:rPr>
          <w:rFonts w:eastAsia="Segoe UI"/>
          <w:color w:val="0F1115"/>
          <w:sz w:val="24"/>
          <w:shd w:val="clear" w:color="auto" w:fill="FFFFFF"/>
          <w:lang w:val="pt-BR"/>
        </w:rPr>
        <w:br/>
        <w:t>A neurociência contemporânea revela que a metáfora do "sair do sulco" tem bases biológicas precisas. O delirium está associado principalmente a desequilíbrios colinérgicos que afetam amplas redes corticais, enquanto os delírios psicóticos relacionam-se mais com hiperatividade dopaminérgica em circuitos específicos. Estas alterações neuroquímicas explicam por que o cérebro em estado delirante perde a capacidade de processar informações de forma coerente.</w:t>
      </w:r>
    </w:p>
    <w:p w14:paraId="2091D045" w14:textId="77777777" w:rsidR="0003312E" w:rsidRDefault="0003312E">
      <w:pPr>
        <w:pStyle w:val="NormalWeb"/>
        <w:shd w:val="clear" w:color="auto" w:fill="FFFFFF"/>
        <w:spacing w:beforeAutospacing="0" w:after="0" w:afterAutospacing="0" w:line="360" w:lineRule="auto"/>
        <w:ind w:firstLine="709"/>
        <w:jc w:val="both"/>
        <w:rPr>
          <w:rFonts w:eastAsia="Segoe UI"/>
          <w:color w:val="0F1115"/>
          <w:sz w:val="24"/>
          <w:lang w:val="pt-BR"/>
        </w:rPr>
      </w:pPr>
    </w:p>
    <w:p w14:paraId="14EFBB5D" w14:textId="77777777" w:rsidR="0003312E" w:rsidRDefault="00000000">
      <w:pPr>
        <w:pStyle w:val="NormalWeb"/>
        <w:shd w:val="clear" w:color="auto" w:fill="FFFFFF"/>
        <w:spacing w:beforeAutospacing="0" w:after="0" w:afterAutospacing="0" w:line="360" w:lineRule="auto"/>
        <w:ind w:firstLine="709"/>
        <w:jc w:val="both"/>
        <w:rPr>
          <w:rFonts w:eastAsia="Segoe UI"/>
          <w:color w:val="0F1115"/>
          <w:sz w:val="24"/>
          <w:lang w:val="pt-BR"/>
        </w:rPr>
      </w:pPr>
      <w:r>
        <w:rPr>
          <w:rStyle w:val="Forte"/>
          <w:rFonts w:eastAsia="Segoe UI"/>
          <w:color w:val="0F1115"/>
          <w:sz w:val="24"/>
          <w:shd w:val="clear" w:color="auto" w:fill="FFFFFF"/>
          <w:lang w:val="pt-BR"/>
        </w:rPr>
        <w:t>4. A Dimensão Poético-Filosófica: O Labirinto como Espelho</w:t>
      </w:r>
      <w:r>
        <w:rPr>
          <w:rFonts w:eastAsia="Segoe UI"/>
          <w:color w:val="0F1115"/>
          <w:sz w:val="24"/>
          <w:shd w:val="clear" w:color="auto" w:fill="FFFFFF"/>
          <w:lang w:val="pt-BR"/>
        </w:rPr>
        <w:br/>
        <w:t>Para além da patologia, o delírio permanece uma metáfora poderosa dos limites da razão humana. Como um labirinto invertido onde cada caminho leva a mais confusão, ele nos confronta com a fragilidade de nossa percepção da realidade. A vida e obra de Van Gogh exemplificam este paradoxo: seus episódios delirantes foram fonte de intenso sofrimento, mas também proporcionaram uma visão única do mundo que revolucionou a arte.</w:t>
      </w:r>
    </w:p>
    <w:p w14:paraId="4BF39F86" w14:textId="77777777" w:rsidR="0003312E" w:rsidRDefault="0003312E">
      <w:pPr>
        <w:spacing w:after="0" w:line="360" w:lineRule="auto"/>
        <w:ind w:firstLine="709"/>
        <w:jc w:val="both"/>
        <w:rPr>
          <w:rFonts w:ascii="Times New Roman" w:eastAsia="Segoe UI" w:hAnsi="Times New Roman" w:cs="Times New Roman"/>
          <w:color w:val="0F1115"/>
          <w:sz w:val="24"/>
          <w:szCs w:val="24"/>
        </w:rPr>
      </w:pPr>
    </w:p>
    <w:p w14:paraId="5C3BAF1F" w14:textId="77777777" w:rsidR="0003312E" w:rsidRDefault="00000000">
      <w:pPr>
        <w:pStyle w:val="NormalWeb"/>
        <w:shd w:val="clear" w:color="auto" w:fill="FFFFFF"/>
        <w:spacing w:beforeAutospacing="0" w:after="0" w:afterAutospacing="0" w:line="360" w:lineRule="auto"/>
        <w:ind w:firstLine="709"/>
        <w:jc w:val="both"/>
        <w:rPr>
          <w:rFonts w:eastAsia="Segoe UI"/>
          <w:color w:val="0F1115"/>
          <w:sz w:val="24"/>
          <w:lang w:val="pt-BR"/>
        </w:rPr>
      </w:pPr>
      <w:r>
        <w:rPr>
          <w:rStyle w:val="Forte"/>
          <w:rFonts w:eastAsia="Segoe UI"/>
          <w:color w:val="0F1115"/>
          <w:sz w:val="24"/>
          <w:shd w:val="clear" w:color="auto" w:fill="FFFFFF"/>
          <w:lang w:val="pt-BR"/>
        </w:rPr>
        <w:t>Próximo: O Teatro do Corpo</w:t>
      </w:r>
    </w:p>
    <w:p w14:paraId="78BA1120" w14:textId="77777777" w:rsidR="0003312E" w:rsidRDefault="00000000">
      <w:pPr>
        <w:pStyle w:val="NormalWeb"/>
        <w:shd w:val="clear" w:color="auto" w:fill="FFFFFF"/>
        <w:spacing w:beforeAutospacing="0" w:after="0" w:afterAutospacing="0" w:line="360" w:lineRule="auto"/>
        <w:ind w:firstLine="709"/>
        <w:jc w:val="both"/>
        <w:rPr>
          <w:rFonts w:eastAsia="Segoe UI"/>
          <w:color w:val="0F1115"/>
          <w:sz w:val="24"/>
          <w:lang w:val="pt-BR"/>
        </w:rPr>
      </w:pPr>
      <w:r>
        <w:rPr>
          <w:rFonts w:eastAsia="Segoe UI"/>
          <w:color w:val="0F1115"/>
          <w:sz w:val="24"/>
          <w:shd w:val="clear" w:color="auto" w:fill="FFFFFF"/>
          <w:lang w:val="pt-BR"/>
        </w:rPr>
        <w:t xml:space="preserve">Se o delírio de Van Gogh nos revela um labirinto interno de pensamento desorganizado, a histeria, tão minuciosamente estudada por Jean-Martin </w:t>
      </w:r>
      <w:proofErr w:type="spellStart"/>
      <w:r>
        <w:rPr>
          <w:rFonts w:eastAsia="Segoe UI"/>
          <w:color w:val="0F1115"/>
          <w:sz w:val="24"/>
          <w:shd w:val="clear" w:color="auto" w:fill="FFFFFF"/>
          <w:lang w:val="pt-BR"/>
        </w:rPr>
        <w:t>Charcot</w:t>
      </w:r>
      <w:proofErr w:type="spellEnd"/>
      <w:r>
        <w:rPr>
          <w:rFonts w:eastAsia="Segoe UI"/>
          <w:color w:val="0F1115"/>
          <w:sz w:val="24"/>
          <w:shd w:val="clear" w:color="auto" w:fill="FFFFFF"/>
          <w:lang w:val="pt-BR"/>
        </w:rPr>
        <w:t xml:space="preserve">, emerge como seu oposto performático: uma verdadeira encenação corporal do inconsciente. Enquanto o delírio internaliza o caos, transformando a mente em um campo de batalha privado, a histeria o </w:t>
      </w:r>
      <w:r>
        <w:rPr>
          <w:rFonts w:eastAsia="Segoe UI"/>
          <w:color w:val="0F1115"/>
          <w:sz w:val="24"/>
          <w:shd w:val="clear" w:color="auto" w:fill="FFFFFF"/>
          <w:lang w:val="pt-BR"/>
        </w:rPr>
        <w:lastRenderedPageBreak/>
        <w:t>externaliza de forma dramática por meio de sintomas físicos impressionantes - paralisias, convulsões, anestesias - convertendo o corpo em um palco vivo onde se manifesta aquilo que a mente não consegue verbalizar.</w:t>
      </w:r>
    </w:p>
    <w:p w14:paraId="152FE2CD" w14:textId="77777777" w:rsidR="0003312E" w:rsidRDefault="00000000">
      <w:pPr>
        <w:rPr>
          <w:rFonts w:eastAsia="Segoe UI"/>
          <w:sz w:val="24"/>
          <w:shd w:val="clear" w:color="auto" w:fill="FFFFFF"/>
        </w:rPr>
      </w:pPr>
      <w:r>
        <w:rPr>
          <w:rFonts w:eastAsia="Segoe UI"/>
          <w:sz w:val="24"/>
          <w:shd w:val="clear" w:color="auto" w:fill="FFFFFF"/>
        </w:rPr>
        <w:br w:type="page"/>
      </w:r>
    </w:p>
    <w:p w14:paraId="691C94C8" w14:textId="77777777" w:rsidR="0003312E" w:rsidRDefault="0003312E">
      <w:pPr>
        <w:pStyle w:val="NormalWeb"/>
        <w:spacing w:beforeAutospacing="0" w:after="0" w:afterAutospacing="0" w:line="360" w:lineRule="auto"/>
        <w:ind w:firstLine="709"/>
        <w:jc w:val="both"/>
        <w:rPr>
          <w:rFonts w:eastAsia="Segoe UI"/>
          <w:sz w:val="24"/>
          <w:shd w:val="clear" w:color="auto" w:fill="FFFFFF"/>
          <w:lang w:val="pt-BR"/>
        </w:rPr>
      </w:pPr>
    </w:p>
    <w:tbl>
      <w:tblPr>
        <w:tblStyle w:val="Tabelacomgrade"/>
        <w:tblW w:w="850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Look w:val="04A0" w:firstRow="1" w:lastRow="0" w:firstColumn="1" w:lastColumn="0" w:noHBand="0" w:noVBand="1"/>
      </w:tblPr>
      <w:tblGrid>
        <w:gridCol w:w="4353"/>
        <w:gridCol w:w="4152"/>
      </w:tblGrid>
      <w:tr w:rsidR="0003312E" w14:paraId="65E10604" w14:textId="77777777">
        <w:trPr>
          <w:trHeight w:val="470"/>
        </w:trPr>
        <w:tc>
          <w:tcPr>
            <w:tcW w:w="8505" w:type="dxa"/>
            <w:gridSpan w:val="2"/>
            <w:tcBorders>
              <w:top w:val="nil"/>
              <w:left w:val="nil"/>
              <w:bottom w:val="nil"/>
              <w:right w:val="nil"/>
            </w:tcBorders>
          </w:tcPr>
          <w:p w14:paraId="0884B359" w14:textId="77777777" w:rsidR="0003312E" w:rsidRDefault="00000000">
            <w:pPr>
              <w:pBdr>
                <w:left w:val="single" w:sz="80" w:space="4" w:color="7F7F7F" w:themeColor="text1" w:themeTint="80"/>
                <w:bottom w:val="single" w:sz="8" w:space="4" w:color="7F7F7F" w:themeColor="text1" w:themeTint="80"/>
              </w:pBdr>
              <w:spacing w:after="0" w:line="240" w:lineRule="auto"/>
              <w:rPr>
                <w:rFonts w:ascii="Times New Roman" w:eastAsia="SimSu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Capítulo </w:t>
            </w:r>
            <w:proofErr w:type="gramStart"/>
            <w:r>
              <w:rPr>
                <w:rFonts w:ascii="Times New Roman" w:hAnsi="Times New Roman" w:cs="Times New Roman"/>
                <w:b/>
                <w:bCs/>
                <w:sz w:val="24"/>
                <w:szCs w:val="24"/>
              </w:rPr>
              <w:t>7  -</w:t>
            </w:r>
            <w:proofErr w:type="gramEnd"/>
            <w:r>
              <w:rPr>
                <w:rFonts w:ascii="Times New Roman" w:hAnsi="Times New Roman" w:cs="Times New Roman"/>
                <w:b/>
                <w:bCs/>
                <w:sz w:val="24"/>
                <w:szCs w:val="24"/>
              </w:rPr>
              <w:t xml:space="preserve">  </w:t>
            </w:r>
            <w:r>
              <w:rPr>
                <w:rFonts w:ascii="Times New Roman" w:eastAsiaTheme="majorEastAsia" w:hAnsi="Times New Roman" w:cs="Times New Roman"/>
                <w:b/>
                <w:bCs/>
                <w:sz w:val="24"/>
                <w:szCs w:val="24"/>
              </w:rPr>
              <w:t>Histeria: Quando o Corpo Fala o que a Mente Cala</w:t>
            </w:r>
          </w:p>
        </w:tc>
      </w:tr>
      <w:tr w:rsidR="0003312E" w14:paraId="5C642A71" w14:textId="77777777">
        <w:tc>
          <w:tcPr>
            <w:tcW w:w="4353" w:type="dxa"/>
            <w:tcBorders>
              <w:top w:val="nil"/>
              <w:left w:val="nil"/>
              <w:bottom w:val="nil"/>
              <w:right w:val="nil"/>
            </w:tcBorders>
          </w:tcPr>
          <w:p w14:paraId="04B0B97F" w14:textId="77777777" w:rsidR="0003312E" w:rsidRDefault="00000000">
            <w:pPr>
              <w:spacing w:after="0" w:line="240" w:lineRule="auto"/>
              <w:jc w:val="center"/>
              <w:rPr>
                <w:rStyle w:val="Forte"/>
                <w:rFonts w:ascii="Times New Roman" w:eastAsia="Garamond" w:hAnsi="Times New Roman" w:cs="Times New Roman"/>
                <w:b w:val="0"/>
                <w:bCs w:val="0"/>
                <w:sz w:val="24"/>
                <w:szCs w:val="24"/>
              </w:rPr>
            </w:pPr>
            <w:r>
              <w:rPr>
                <w:rFonts w:ascii="Times New Roman" w:eastAsia="SimSun" w:hAnsi="Times New Roman" w:cs="Times New Roman"/>
                <w:noProof/>
                <w:sz w:val="24"/>
                <w:szCs w:val="24"/>
              </w:rPr>
              <w:drawing>
                <wp:inline distT="0" distB="0" distL="114300" distR="114300" wp14:anchorId="600D8998" wp14:editId="026467A3">
                  <wp:extent cx="1992630" cy="1992630"/>
                  <wp:effectExtent l="0" t="0" r="7620" b="7620"/>
                  <wp:docPr id="11" name="Imagem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7" descr="IMG_256"/>
                          <pic:cNvPicPr>
                            <a:picLocks noChangeAspect="1"/>
                          </pic:cNvPicPr>
                        </pic:nvPicPr>
                        <pic:blipFill>
                          <a:blip r:embed="rId25">
                            <a:clrChange>
                              <a:clrFrom>
                                <a:srgbClr val="CFCDC1"/>
                              </a:clrFrom>
                              <a:clrTo>
                                <a:srgbClr val="CFCDC1">
                                  <a:alpha val="0"/>
                                </a:srgbClr>
                              </a:clrTo>
                            </a:clrChange>
                            <a:biLevel thresh="75000"/>
                          </a:blip>
                          <a:stretch>
                            <a:fillRect/>
                          </a:stretch>
                        </pic:blipFill>
                        <pic:spPr>
                          <a:xfrm>
                            <a:off x="0" y="0"/>
                            <a:ext cx="1992630" cy="1992630"/>
                          </a:xfrm>
                          <a:prstGeom prst="rect">
                            <a:avLst/>
                          </a:prstGeom>
                          <a:noFill/>
                          <a:ln w="9525">
                            <a:noFill/>
                          </a:ln>
                        </pic:spPr>
                      </pic:pic>
                    </a:graphicData>
                  </a:graphic>
                </wp:inline>
              </w:drawing>
            </w:r>
          </w:p>
        </w:tc>
        <w:tc>
          <w:tcPr>
            <w:tcW w:w="4152" w:type="dxa"/>
            <w:tcBorders>
              <w:top w:val="nil"/>
              <w:left w:val="nil"/>
              <w:bottom w:val="nil"/>
              <w:right w:val="nil"/>
            </w:tcBorders>
          </w:tcPr>
          <w:p w14:paraId="0AC90226" w14:textId="77777777" w:rsidR="0003312E" w:rsidRDefault="00000000">
            <w:pPr>
              <w:spacing w:after="0" w:line="240" w:lineRule="auto"/>
              <w:jc w:val="center"/>
              <w:rPr>
                <w:rStyle w:val="Forte"/>
                <w:rFonts w:ascii="Times New Roman" w:eastAsia="Garamond" w:hAnsi="Times New Roman" w:cs="Times New Roman"/>
                <w:b w:val="0"/>
                <w:bCs w:val="0"/>
                <w:sz w:val="24"/>
                <w:szCs w:val="24"/>
              </w:rPr>
            </w:pPr>
            <w:r>
              <w:rPr>
                <w:rFonts w:ascii="Times New Roman" w:eastAsia="SimSun" w:hAnsi="Times New Roman" w:cs="Times New Roman"/>
                <w:noProof/>
                <w:sz w:val="24"/>
                <w:szCs w:val="24"/>
              </w:rPr>
              <w:drawing>
                <wp:inline distT="0" distB="0" distL="114300" distR="114300" wp14:anchorId="60E87C67" wp14:editId="51F9715B">
                  <wp:extent cx="1432560" cy="1948815"/>
                  <wp:effectExtent l="0" t="0" r="0" b="0"/>
                  <wp:docPr id="6" name="Imagem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3" descr="IMG_256"/>
                          <pic:cNvPicPr>
                            <a:picLocks noChangeAspect="1"/>
                          </pic:cNvPicPr>
                        </pic:nvPicPr>
                        <pic:blipFill>
                          <a:blip r:embed="rId26"/>
                          <a:srcRect b="9273"/>
                          <a:stretch>
                            <a:fillRect/>
                          </a:stretch>
                        </pic:blipFill>
                        <pic:spPr>
                          <a:xfrm>
                            <a:off x="0" y="0"/>
                            <a:ext cx="1449949" cy="1972707"/>
                          </a:xfrm>
                          <a:prstGeom prst="rect">
                            <a:avLst/>
                          </a:prstGeom>
                          <a:noFill/>
                          <a:ln>
                            <a:noFill/>
                          </a:ln>
                        </pic:spPr>
                      </pic:pic>
                    </a:graphicData>
                  </a:graphic>
                </wp:inline>
              </w:drawing>
            </w:r>
          </w:p>
        </w:tc>
      </w:tr>
      <w:tr w:rsidR="0003312E" w14:paraId="7054C637" w14:textId="77777777">
        <w:trPr>
          <w:trHeight w:val="476"/>
        </w:trPr>
        <w:tc>
          <w:tcPr>
            <w:tcW w:w="4353" w:type="dxa"/>
            <w:tcBorders>
              <w:top w:val="nil"/>
              <w:left w:val="nil"/>
              <w:bottom w:val="nil"/>
              <w:right w:val="nil"/>
            </w:tcBorders>
          </w:tcPr>
          <w:p w14:paraId="09BD2B90" w14:textId="77777777" w:rsidR="0003312E" w:rsidRDefault="00000000">
            <w:pPr>
              <w:pStyle w:val="NormalWeb"/>
              <w:spacing w:beforeAutospacing="0" w:after="0" w:afterAutospacing="0" w:line="240" w:lineRule="auto"/>
              <w:rPr>
                <w:rStyle w:val="Forte"/>
                <w:rFonts w:eastAsia="Garamond"/>
                <w:b w:val="0"/>
                <w:bCs w:val="0"/>
                <w:sz w:val="24"/>
                <w:lang w:val="pt-BR"/>
              </w:rPr>
            </w:pPr>
            <w:r>
              <w:rPr>
                <w:rFonts w:eastAsiaTheme="majorEastAsia"/>
                <w:i/>
                <w:iCs/>
                <w:sz w:val="24"/>
                <w:lang w:val="pt-BR"/>
              </w:rPr>
              <w:t>Figura 7.1: O Útero como Labirinto: O Código Corporal do Inconsciente</w:t>
            </w:r>
          </w:p>
        </w:tc>
        <w:tc>
          <w:tcPr>
            <w:tcW w:w="4152" w:type="dxa"/>
            <w:tcBorders>
              <w:top w:val="nil"/>
              <w:left w:val="nil"/>
              <w:bottom w:val="nil"/>
              <w:right w:val="nil"/>
            </w:tcBorders>
          </w:tcPr>
          <w:p w14:paraId="393CE61D" w14:textId="77777777" w:rsidR="0003312E" w:rsidRDefault="00000000">
            <w:pPr>
              <w:spacing w:after="0" w:line="240" w:lineRule="auto"/>
              <w:rPr>
                <w:rStyle w:val="Forte"/>
                <w:rFonts w:ascii="Times New Roman" w:eastAsia="Garamond" w:hAnsi="Times New Roman" w:cs="Times New Roman"/>
                <w:b w:val="0"/>
                <w:bCs w:val="0"/>
                <w:sz w:val="24"/>
                <w:szCs w:val="24"/>
              </w:rPr>
            </w:pPr>
            <w:r>
              <w:rPr>
                <w:rFonts w:ascii="Times New Roman" w:eastAsiaTheme="majorEastAsia" w:hAnsi="Times New Roman" w:cs="Times New Roman"/>
                <w:sz w:val="24"/>
                <w:szCs w:val="24"/>
              </w:rPr>
              <w:t xml:space="preserve">Figura 7.2: </w:t>
            </w:r>
            <w:r>
              <w:rPr>
                <w:rFonts w:ascii="Times New Roman" w:eastAsia="Segoe UI" w:hAnsi="Times New Roman" w:cs="Times New Roman"/>
                <w:i/>
                <w:iCs/>
                <w:sz w:val="24"/>
                <w:szCs w:val="24"/>
                <w:shd w:val="clear" w:color="auto" w:fill="FFFFFF"/>
              </w:rPr>
              <w:t xml:space="preserve">Jean-Martin </w:t>
            </w:r>
            <w:proofErr w:type="spellStart"/>
            <w:r>
              <w:rPr>
                <w:rFonts w:ascii="Times New Roman" w:eastAsia="Segoe UI" w:hAnsi="Times New Roman" w:cs="Times New Roman"/>
                <w:i/>
                <w:iCs/>
                <w:sz w:val="24"/>
                <w:szCs w:val="24"/>
                <w:shd w:val="clear" w:color="auto" w:fill="FFFFFF"/>
              </w:rPr>
              <w:t>Charcot</w:t>
            </w:r>
            <w:proofErr w:type="spellEnd"/>
            <w:r>
              <w:rPr>
                <w:rFonts w:ascii="Times New Roman" w:eastAsia="Segoe UI" w:hAnsi="Times New Roman" w:cs="Times New Roman"/>
                <w:i/>
                <w:iCs/>
                <w:sz w:val="24"/>
                <w:szCs w:val="24"/>
                <w:shd w:val="clear" w:color="auto" w:fill="FFFFFF"/>
              </w:rPr>
              <w:t xml:space="preserve"> (1825 - 1893)</w:t>
            </w:r>
            <w:r>
              <w:rPr>
                <w:rFonts w:ascii="Times New Roman" w:eastAsiaTheme="majorEastAsia" w:hAnsi="Times New Roman" w:cs="Times New Roman"/>
                <w:i/>
                <w:iCs/>
                <w:sz w:val="24"/>
                <w:szCs w:val="24"/>
              </w:rPr>
              <w:t>:</w:t>
            </w:r>
            <w:r>
              <w:rPr>
                <w:rFonts w:ascii="Times New Roman" w:eastAsiaTheme="majorEastAsia" w:hAnsi="Times New Roman" w:cs="Times New Roman"/>
                <w:sz w:val="24"/>
                <w:szCs w:val="24"/>
              </w:rPr>
              <w:t xml:space="preserve"> </w:t>
            </w:r>
            <w:r>
              <w:rPr>
                <w:rFonts w:ascii="Times New Roman" w:eastAsiaTheme="majorEastAsia" w:hAnsi="Times New Roman" w:cs="Times New Roman"/>
                <w:i/>
                <w:iCs/>
                <w:sz w:val="24"/>
                <w:szCs w:val="24"/>
              </w:rPr>
              <w:t>O Diretor do Teatro Clínico</w:t>
            </w:r>
          </w:p>
        </w:tc>
      </w:tr>
    </w:tbl>
    <w:p w14:paraId="7F452A75" w14:textId="77777777" w:rsidR="0003312E" w:rsidRDefault="0003312E">
      <w:pPr>
        <w:spacing w:after="0" w:line="360" w:lineRule="auto"/>
        <w:ind w:firstLine="709"/>
        <w:jc w:val="both"/>
        <w:rPr>
          <w:rFonts w:ascii="Times New Roman" w:eastAsia="Segoe UI" w:hAnsi="Times New Roman" w:cs="Times New Roman"/>
          <w:sz w:val="24"/>
          <w:szCs w:val="24"/>
          <w:shd w:val="clear" w:color="auto" w:fill="FFFFFF"/>
          <w:lang w:eastAsia="zh-CN"/>
        </w:rPr>
      </w:pPr>
    </w:p>
    <w:p w14:paraId="1B7ABBB9" w14:textId="77777777" w:rsidR="0003312E" w:rsidRDefault="0003312E">
      <w:pPr>
        <w:spacing w:after="0" w:line="360" w:lineRule="auto"/>
        <w:ind w:firstLine="709"/>
        <w:jc w:val="both"/>
        <w:rPr>
          <w:rFonts w:ascii="Times New Roman" w:eastAsia="Segoe UI" w:hAnsi="Times New Roman" w:cs="Times New Roman"/>
          <w:sz w:val="24"/>
          <w:szCs w:val="24"/>
          <w:shd w:val="clear" w:color="auto" w:fill="FFFFFF"/>
          <w:lang w:eastAsia="zh-CN"/>
        </w:rPr>
      </w:pPr>
    </w:p>
    <w:p w14:paraId="4E806D5E"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b/>
          <w:bCs/>
          <w:color w:val="0F1115"/>
          <w:kern w:val="0"/>
          <w:sz w:val="24"/>
          <w:szCs w:val="24"/>
          <w:lang w:eastAsia="pt-BR"/>
          <w14:ligatures w14:val="none"/>
        </w:rPr>
        <w:t>Histeria em Poucas Palavras: Quando o Corpo Vira Palco</w:t>
      </w:r>
    </w:p>
    <w:p w14:paraId="2FF07BBA"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O fenômeno da histeria representa um dos capítulos mais reveladores da história da medicina, onde conceitos científicos, preconceitos de gênero e entendimentos culturais se entrelaçaram por milênios. Para desvendar esta complexidade, percorreremos quatro dimensões fundamentais que se complementam: A primeira dimensão nos revela sua origem etimológica no termo grego "</w:t>
      </w:r>
      <w:proofErr w:type="spellStart"/>
      <w:r>
        <w:rPr>
          <w:rFonts w:ascii="Times New Roman" w:eastAsia="Times New Roman" w:hAnsi="Times New Roman" w:cs="Times New Roman"/>
          <w:color w:val="0F1115"/>
          <w:kern w:val="0"/>
          <w:sz w:val="24"/>
          <w:szCs w:val="24"/>
          <w:lang w:eastAsia="pt-BR"/>
          <w14:ligatures w14:val="none"/>
        </w:rPr>
        <w:t>hystera</w:t>
      </w:r>
      <w:proofErr w:type="spellEnd"/>
      <w:r>
        <w:rPr>
          <w:rFonts w:ascii="Times New Roman" w:eastAsia="Times New Roman" w:hAnsi="Times New Roman" w:cs="Times New Roman"/>
          <w:color w:val="0F1115"/>
          <w:kern w:val="0"/>
          <w:sz w:val="24"/>
          <w:szCs w:val="24"/>
          <w:lang w:eastAsia="pt-BR"/>
          <w14:ligatures w14:val="none"/>
        </w:rPr>
        <w:t xml:space="preserve">" (útero), refletindo um erro anatômico que persistiu por séculos e </w:t>
      </w:r>
      <w:proofErr w:type="spellStart"/>
      <w:r>
        <w:rPr>
          <w:rFonts w:ascii="Times New Roman" w:eastAsia="Times New Roman" w:hAnsi="Times New Roman" w:cs="Times New Roman"/>
          <w:color w:val="0F1115"/>
          <w:kern w:val="0"/>
          <w:sz w:val="24"/>
          <w:szCs w:val="24"/>
          <w:lang w:eastAsia="pt-BR"/>
          <w14:ligatures w14:val="none"/>
        </w:rPr>
        <w:t>genderizou</w:t>
      </w:r>
      <w:proofErr w:type="spellEnd"/>
      <w:r>
        <w:rPr>
          <w:rFonts w:ascii="Times New Roman" w:eastAsia="Times New Roman" w:hAnsi="Times New Roman" w:cs="Times New Roman"/>
          <w:color w:val="0F1115"/>
          <w:kern w:val="0"/>
          <w:sz w:val="24"/>
          <w:szCs w:val="24"/>
          <w:lang w:eastAsia="pt-BR"/>
          <w14:ligatures w14:val="none"/>
        </w:rPr>
        <w:t xml:space="preserve"> profundamente a compreensão do sofrimento psicológico. A segunda nos guia por sua extraordinária jornada histórica, que parte das teorias médicas da Grécia Antiga, passa pela interpretação demonológica medieval e chega à medicalização teatral do século XIX. A terceira dimensão desvenda como a neurociência contemporânea compreende estes sintomas através do conceito de Transtorno de Sintomas Neurológicos Funcionais. E a quarta nos leva ao plano filosófico, onde a histeria emerge como uma metáfora poderosa dos mecanismos do inconsciente e da expressão corporal do sofrimento psíquico.</w:t>
      </w:r>
    </w:p>
    <w:p w14:paraId="37C75A79" w14:textId="77777777" w:rsidR="0003312E" w:rsidRDefault="0003312E">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p>
    <w:p w14:paraId="75E6ADDE"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b/>
          <w:bCs/>
          <w:color w:val="0F1115"/>
          <w:kern w:val="0"/>
          <w:sz w:val="24"/>
          <w:szCs w:val="24"/>
          <w:lang w:eastAsia="pt-BR"/>
          <w14:ligatures w14:val="none"/>
        </w:rPr>
        <w:t>A Jornada da Palavra: Do Útero Errante ao Inconsciente</w:t>
      </w:r>
    </w:p>
    <w:p w14:paraId="2DA91CA7"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 xml:space="preserve">A história da histeria revela uma narrativa dramática de apropriação e reinterpretação cultural e médica. Na Grécia Antiga, a teoria hipocrática do "útero errante" estabeleceu as bases para uma compreensão ginecológica do fenômeno. Como atestam as referências documentais, autores como </w:t>
      </w:r>
      <w:proofErr w:type="spellStart"/>
      <w:r>
        <w:rPr>
          <w:rFonts w:ascii="Times New Roman" w:eastAsia="Times New Roman" w:hAnsi="Times New Roman" w:cs="Times New Roman"/>
          <w:color w:val="0F1115"/>
          <w:kern w:val="0"/>
          <w:sz w:val="24"/>
          <w:szCs w:val="24"/>
          <w:lang w:eastAsia="pt-BR"/>
          <w14:ligatures w14:val="none"/>
        </w:rPr>
        <w:t>Apollodorus</w:t>
      </w:r>
      <w:proofErr w:type="spellEnd"/>
      <w:r>
        <w:rPr>
          <w:rFonts w:ascii="Times New Roman" w:eastAsia="Times New Roman" w:hAnsi="Times New Roman" w:cs="Times New Roman"/>
          <w:color w:val="0F1115"/>
          <w:kern w:val="0"/>
          <w:sz w:val="24"/>
          <w:szCs w:val="24"/>
          <w:lang w:eastAsia="pt-BR"/>
          <w14:ligatures w14:val="none"/>
        </w:rPr>
        <w:t xml:space="preserve"> descreviam mulheres "tomadas por uma espécie de loucura - presumivelmente alguma forma de histeria" que corriam cantando pela selva, enquanto </w:t>
      </w:r>
      <w:proofErr w:type="spellStart"/>
      <w:r>
        <w:rPr>
          <w:rFonts w:ascii="Times New Roman" w:eastAsia="Times New Roman" w:hAnsi="Times New Roman" w:cs="Times New Roman"/>
          <w:color w:val="0F1115"/>
          <w:kern w:val="0"/>
          <w:sz w:val="24"/>
          <w:szCs w:val="24"/>
          <w:lang w:eastAsia="pt-BR"/>
          <w14:ligatures w14:val="none"/>
        </w:rPr>
        <w:t>Strabo</w:t>
      </w:r>
      <w:proofErr w:type="spellEnd"/>
      <w:r>
        <w:rPr>
          <w:rFonts w:ascii="Times New Roman" w:eastAsia="Times New Roman" w:hAnsi="Times New Roman" w:cs="Times New Roman"/>
          <w:color w:val="0F1115"/>
          <w:kern w:val="0"/>
          <w:sz w:val="24"/>
          <w:szCs w:val="24"/>
          <w:lang w:eastAsia="pt-BR"/>
          <w14:ligatures w14:val="none"/>
        </w:rPr>
        <w:t xml:space="preserve"> mencionava tratamentos para "doenças espasmódicas, como histeria e epilepsia".</w:t>
      </w:r>
    </w:p>
    <w:p w14:paraId="4BBD0803"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lastRenderedPageBreak/>
        <w:t>Na Idade Média, a explicação hipocrática cedeu lugar à interpretação teológica: os sintomas histéricos passaram a ser vistos como sinais de possessão demoníaca, deslocando as "curas" da esfera médica para a religiosa. Esta transição é crucial para entender como o corpo da mulher transformou-se em campo de batalha entre o sagrado e o profano.</w:t>
      </w:r>
    </w:p>
    <w:p w14:paraId="2DE930A9"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 xml:space="preserve">Figuras como Thomas </w:t>
      </w:r>
      <w:proofErr w:type="spellStart"/>
      <w:r>
        <w:rPr>
          <w:rFonts w:ascii="Times New Roman" w:eastAsia="Times New Roman" w:hAnsi="Times New Roman" w:cs="Times New Roman"/>
          <w:color w:val="0F1115"/>
          <w:kern w:val="0"/>
          <w:sz w:val="24"/>
          <w:szCs w:val="24"/>
          <w:lang w:eastAsia="pt-BR"/>
          <w14:ligatures w14:val="none"/>
        </w:rPr>
        <w:t>Sydenham</w:t>
      </w:r>
      <w:proofErr w:type="spellEnd"/>
      <w:r>
        <w:rPr>
          <w:rFonts w:ascii="Times New Roman" w:eastAsia="Times New Roman" w:hAnsi="Times New Roman" w:cs="Times New Roman"/>
          <w:color w:val="0F1115"/>
          <w:kern w:val="0"/>
          <w:sz w:val="24"/>
          <w:szCs w:val="24"/>
          <w:lang w:eastAsia="pt-BR"/>
          <w14:ligatures w14:val="none"/>
        </w:rPr>
        <w:t xml:space="preserve"> (século XVII) propuseram concepções mais complexas da histeria, reconhecendo seus aspectos psicossomáticos. Entretanto, a virada decisiva ocorreu no século XIX com Jean-Martin </w:t>
      </w:r>
      <w:proofErr w:type="spellStart"/>
      <w:r>
        <w:rPr>
          <w:rFonts w:ascii="Times New Roman" w:eastAsia="Times New Roman" w:hAnsi="Times New Roman" w:cs="Times New Roman"/>
          <w:color w:val="0F1115"/>
          <w:kern w:val="0"/>
          <w:sz w:val="24"/>
          <w:szCs w:val="24"/>
          <w:lang w:eastAsia="pt-BR"/>
          <w14:ligatures w14:val="none"/>
        </w:rPr>
        <w:t>Charcot</w:t>
      </w:r>
      <w:proofErr w:type="spellEnd"/>
      <w:r>
        <w:rPr>
          <w:rFonts w:ascii="Times New Roman" w:eastAsia="Times New Roman" w:hAnsi="Times New Roman" w:cs="Times New Roman"/>
          <w:color w:val="0F1115"/>
          <w:kern w:val="0"/>
          <w:sz w:val="24"/>
          <w:szCs w:val="24"/>
          <w:lang w:eastAsia="pt-BR"/>
          <w14:ligatures w14:val="none"/>
        </w:rPr>
        <w:t xml:space="preserve">. No hospital da </w:t>
      </w:r>
      <w:proofErr w:type="spellStart"/>
      <w:r>
        <w:rPr>
          <w:rFonts w:ascii="Times New Roman" w:eastAsia="Times New Roman" w:hAnsi="Times New Roman" w:cs="Times New Roman"/>
          <w:color w:val="0F1115"/>
          <w:kern w:val="0"/>
          <w:sz w:val="24"/>
          <w:szCs w:val="24"/>
          <w:lang w:eastAsia="pt-BR"/>
          <w14:ligatures w14:val="none"/>
        </w:rPr>
        <w:t>Salpêtrière</w:t>
      </w:r>
      <w:proofErr w:type="spellEnd"/>
      <w:r>
        <w:rPr>
          <w:rFonts w:ascii="Times New Roman" w:eastAsia="Times New Roman" w:hAnsi="Times New Roman" w:cs="Times New Roman"/>
          <w:color w:val="0F1115"/>
          <w:kern w:val="0"/>
          <w:sz w:val="24"/>
          <w:szCs w:val="24"/>
          <w:lang w:eastAsia="pt-BR"/>
          <w14:ligatures w14:val="none"/>
        </w:rPr>
        <w:t xml:space="preserve">, </w:t>
      </w:r>
      <w:proofErr w:type="spellStart"/>
      <w:r>
        <w:rPr>
          <w:rFonts w:ascii="Times New Roman" w:eastAsia="Times New Roman" w:hAnsi="Times New Roman" w:cs="Times New Roman"/>
          <w:color w:val="0F1115"/>
          <w:kern w:val="0"/>
          <w:sz w:val="24"/>
          <w:szCs w:val="24"/>
          <w:lang w:eastAsia="pt-BR"/>
          <w14:ligatures w14:val="none"/>
        </w:rPr>
        <w:t>Charcot</w:t>
      </w:r>
      <w:proofErr w:type="spellEnd"/>
      <w:r>
        <w:rPr>
          <w:rFonts w:ascii="Times New Roman" w:eastAsia="Times New Roman" w:hAnsi="Times New Roman" w:cs="Times New Roman"/>
          <w:color w:val="0F1115"/>
          <w:kern w:val="0"/>
          <w:sz w:val="24"/>
          <w:szCs w:val="24"/>
          <w:lang w:eastAsia="pt-BR"/>
          <w14:ligatures w14:val="none"/>
        </w:rPr>
        <w:t xml:space="preserve"> empreendeu uma missão de medicalização, argumentando que a histeria não era possessão nem fraude, mas uma doença real do sistema nervoso. É importante notar que </w:t>
      </w:r>
      <w:proofErr w:type="spellStart"/>
      <w:r>
        <w:rPr>
          <w:rFonts w:ascii="Times New Roman" w:eastAsia="Times New Roman" w:hAnsi="Times New Roman" w:cs="Times New Roman"/>
          <w:color w:val="0F1115"/>
          <w:kern w:val="0"/>
          <w:sz w:val="24"/>
          <w:szCs w:val="24"/>
          <w:lang w:eastAsia="pt-BR"/>
          <w14:ligatures w14:val="none"/>
        </w:rPr>
        <w:t>Charcot</w:t>
      </w:r>
      <w:proofErr w:type="spellEnd"/>
      <w:r>
        <w:rPr>
          <w:rFonts w:ascii="Times New Roman" w:eastAsia="Times New Roman" w:hAnsi="Times New Roman" w:cs="Times New Roman"/>
          <w:color w:val="0F1115"/>
          <w:kern w:val="0"/>
          <w:sz w:val="24"/>
          <w:szCs w:val="24"/>
          <w:lang w:eastAsia="pt-BR"/>
          <w14:ligatures w14:val="none"/>
        </w:rPr>
        <w:t xml:space="preserve"> ainda acreditava que a histeria era causada por uma lesão anatômica ainda não identificável no sistema nervoso, que a ciência de sua época simplesmente não conseguia detectar. Crucialmente, não apenas demonstrou, mas legitimou e estudou sistematicamente que homens também podiam apresentar sintomas histéricos, desafiando o dogma etimológico que vinculava a condição exclusivamente ao feminino.</w:t>
      </w:r>
    </w:p>
    <w:p w14:paraId="65FC8781"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 xml:space="preserve">Um método de </w:t>
      </w:r>
      <w:proofErr w:type="spellStart"/>
      <w:r>
        <w:rPr>
          <w:rFonts w:ascii="Times New Roman" w:eastAsia="Times New Roman" w:hAnsi="Times New Roman" w:cs="Times New Roman"/>
          <w:color w:val="0F1115"/>
          <w:kern w:val="0"/>
          <w:sz w:val="24"/>
          <w:szCs w:val="24"/>
          <w:lang w:eastAsia="pt-BR"/>
          <w14:ligatures w14:val="none"/>
        </w:rPr>
        <w:t>Charcot</w:t>
      </w:r>
      <w:proofErr w:type="spellEnd"/>
      <w:r>
        <w:rPr>
          <w:rFonts w:ascii="Times New Roman" w:eastAsia="Times New Roman" w:hAnsi="Times New Roman" w:cs="Times New Roman"/>
          <w:color w:val="0F1115"/>
          <w:kern w:val="0"/>
          <w:sz w:val="24"/>
          <w:szCs w:val="24"/>
          <w:lang w:eastAsia="pt-BR"/>
          <w14:ligatures w14:val="none"/>
        </w:rPr>
        <w:t xml:space="preserve"> era pedagogicamente teatral. Suas 'Lições de Terça-feira' transformavam o anfiteatro da </w:t>
      </w:r>
      <w:proofErr w:type="spellStart"/>
      <w:r>
        <w:rPr>
          <w:rFonts w:ascii="Times New Roman" w:eastAsia="Times New Roman" w:hAnsi="Times New Roman" w:cs="Times New Roman"/>
          <w:color w:val="0F1115"/>
          <w:kern w:val="0"/>
          <w:sz w:val="24"/>
          <w:szCs w:val="24"/>
          <w:lang w:eastAsia="pt-BR"/>
          <w14:ligatures w14:val="none"/>
        </w:rPr>
        <w:t>Salpêtrière</w:t>
      </w:r>
      <w:proofErr w:type="spellEnd"/>
      <w:r>
        <w:rPr>
          <w:rFonts w:ascii="Times New Roman" w:eastAsia="Times New Roman" w:hAnsi="Times New Roman" w:cs="Times New Roman"/>
          <w:color w:val="0F1115"/>
          <w:kern w:val="0"/>
          <w:sz w:val="24"/>
          <w:szCs w:val="24"/>
          <w:lang w:eastAsia="pt-BR"/>
          <w14:ligatures w14:val="none"/>
        </w:rPr>
        <w:t xml:space="preserve"> em palco de demonstração clínica, onde pacientes como Blanche </w:t>
      </w:r>
      <w:proofErr w:type="spellStart"/>
      <w:r>
        <w:rPr>
          <w:rFonts w:ascii="Times New Roman" w:eastAsia="Times New Roman" w:hAnsi="Times New Roman" w:cs="Times New Roman"/>
          <w:color w:val="0F1115"/>
          <w:kern w:val="0"/>
          <w:sz w:val="24"/>
          <w:szCs w:val="24"/>
          <w:lang w:eastAsia="pt-BR"/>
          <w14:ligatures w14:val="none"/>
        </w:rPr>
        <w:t>Wittmann</w:t>
      </w:r>
      <w:proofErr w:type="spellEnd"/>
      <w:r>
        <w:rPr>
          <w:rFonts w:ascii="Times New Roman" w:eastAsia="Times New Roman" w:hAnsi="Times New Roman" w:cs="Times New Roman"/>
          <w:color w:val="0F1115"/>
          <w:kern w:val="0"/>
          <w:sz w:val="24"/>
          <w:szCs w:val="24"/>
          <w:lang w:eastAsia="pt-BR"/>
          <w14:ligatures w14:val="none"/>
        </w:rPr>
        <w:t xml:space="preserve"> eram hipnotizadas diante de uma plateia ávida de médicos e curiosos. Embora tenha retirado a doença do reino do sobrenatural, </w:t>
      </w:r>
      <w:proofErr w:type="spellStart"/>
      <w:r>
        <w:rPr>
          <w:rFonts w:ascii="Times New Roman" w:eastAsia="Times New Roman" w:hAnsi="Times New Roman" w:cs="Times New Roman"/>
          <w:color w:val="0F1115"/>
          <w:kern w:val="0"/>
          <w:sz w:val="24"/>
          <w:szCs w:val="24"/>
          <w:lang w:eastAsia="pt-BR"/>
          <w14:ligatures w14:val="none"/>
        </w:rPr>
        <w:t>Charcot</w:t>
      </w:r>
      <w:proofErr w:type="spellEnd"/>
      <w:r>
        <w:rPr>
          <w:rFonts w:ascii="Times New Roman" w:eastAsia="Times New Roman" w:hAnsi="Times New Roman" w:cs="Times New Roman"/>
          <w:color w:val="0F1115"/>
          <w:kern w:val="0"/>
          <w:sz w:val="24"/>
          <w:szCs w:val="24"/>
          <w:lang w:eastAsia="pt-BR"/>
          <w14:ligatures w14:val="none"/>
        </w:rPr>
        <w:t> não se limitou a observá-la; ele a </w:t>
      </w:r>
      <w:r>
        <w:rPr>
          <w:rFonts w:ascii="Times New Roman" w:eastAsia="Times New Roman" w:hAnsi="Times New Roman" w:cs="Times New Roman"/>
          <w:i/>
          <w:iCs/>
          <w:color w:val="0F1115"/>
          <w:kern w:val="0"/>
          <w:sz w:val="24"/>
          <w:szCs w:val="24"/>
          <w:lang w:eastAsia="pt-BR"/>
          <w14:ligatures w14:val="none"/>
        </w:rPr>
        <w:t>encenou</w:t>
      </w:r>
      <w:r>
        <w:rPr>
          <w:rFonts w:ascii="Times New Roman" w:eastAsia="Times New Roman" w:hAnsi="Times New Roman" w:cs="Times New Roman"/>
          <w:color w:val="0F1115"/>
          <w:kern w:val="0"/>
          <w:sz w:val="24"/>
          <w:szCs w:val="24"/>
          <w:lang w:eastAsia="pt-BR"/>
          <w14:ligatures w14:val="none"/>
        </w:rPr>
        <w:t>. Seu teatro médico gerou um catálogo iconográfico de poses e sintomas — as </w:t>
      </w:r>
      <w:proofErr w:type="spellStart"/>
      <w:r>
        <w:rPr>
          <w:rFonts w:ascii="Times New Roman" w:eastAsia="Times New Roman" w:hAnsi="Times New Roman" w:cs="Times New Roman"/>
          <w:i/>
          <w:iCs/>
          <w:color w:val="0F1115"/>
          <w:kern w:val="0"/>
          <w:sz w:val="24"/>
          <w:szCs w:val="24"/>
          <w:lang w:eastAsia="pt-BR"/>
          <w14:ligatures w14:val="none"/>
        </w:rPr>
        <w:t>attitudes</w:t>
      </w:r>
      <w:proofErr w:type="spellEnd"/>
      <w:r>
        <w:rPr>
          <w:rFonts w:ascii="Times New Roman" w:eastAsia="Times New Roman" w:hAnsi="Times New Roman" w:cs="Times New Roman"/>
          <w:i/>
          <w:iCs/>
          <w:color w:val="0F1115"/>
          <w:kern w:val="0"/>
          <w:sz w:val="24"/>
          <w:szCs w:val="24"/>
          <w:lang w:eastAsia="pt-BR"/>
          <w14:ligatures w14:val="none"/>
        </w:rPr>
        <w:t xml:space="preserve"> </w:t>
      </w:r>
      <w:proofErr w:type="spellStart"/>
      <w:r>
        <w:rPr>
          <w:rFonts w:ascii="Times New Roman" w:eastAsia="Times New Roman" w:hAnsi="Times New Roman" w:cs="Times New Roman"/>
          <w:i/>
          <w:iCs/>
          <w:color w:val="0F1115"/>
          <w:kern w:val="0"/>
          <w:sz w:val="24"/>
          <w:szCs w:val="24"/>
          <w:lang w:eastAsia="pt-BR"/>
          <w14:ligatures w14:val="none"/>
        </w:rPr>
        <w:t>passionnelles</w:t>
      </w:r>
      <w:proofErr w:type="spellEnd"/>
      <w:r>
        <w:rPr>
          <w:rFonts w:ascii="Times New Roman" w:eastAsia="Times New Roman" w:hAnsi="Times New Roman" w:cs="Times New Roman"/>
          <w:i/>
          <w:iCs/>
          <w:color w:val="0F1115"/>
          <w:kern w:val="0"/>
          <w:sz w:val="24"/>
          <w:szCs w:val="24"/>
          <w:lang w:eastAsia="pt-BR"/>
          <w14:ligatures w14:val="none"/>
        </w:rPr>
        <w:t xml:space="preserve"> -</w:t>
      </w:r>
      <w:r>
        <w:rPr>
          <w:rFonts w:ascii="Times New Roman" w:eastAsia="Times New Roman" w:hAnsi="Times New Roman" w:cs="Times New Roman"/>
          <w:color w:val="0F1115"/>
          <w:kern w:val="0"/>
          <w:sz w:val="24"/>
          <w:szCs w:val="24"/>
          <w:lang w:eastAsia="pt-BR"/>
          <w14:ligatures w14:val="none"/>
        </w:rPr>
        <w:t xml:space="preserve"> que as pacientes, em um ciclo de influência mútua, aprendiam a executar. Assim, a </w:t>
      </w:r>
      <w:proofErr w:type="spellStart"/>
      <w:r>
        <w:rPr>
          <w:rFonts w:ascii="Times New Roman" w:eastAsia="Times New Roman" w:hAnsi="Times New Roman" w:cs="Times New Roman"/>
          <w:color w:val="0F1115"/>
          <w:kern w:val="0"/>
          <w:sz w:val="24"/>
          <w:szCs w:val="24"/>
          <w:lang w:eastAsia="pt-BR"/>
          <w14:ligatures w14:val="none"/>
        </w:rPr>
        <w:t>Salpêtrière</w:t>
      </w:r>
      <w:proofErr w:type="spellEnd"/>
      <w:r>
        <w:rPr>
          <w:rFonts w:ascii="Times New Roman" w:eastAsia="Times New Roman" w:hAnsi="Times New Roman" w:cs="Times New Roman"/>
          <w:color w:val="0F1115"/>
          <w:kern w:val="0"/>
          <w:sz w:val="24"/>
          <w:szCs w:val="24"/>
          <w:lang w:eastAsia="pt-BR"/>
          <w14:ligatures w14:val="none"/>
        </w:rPr>
        <w:t xml:space="preserve"> tornou-se uma fábrica de signos da histeria: </w:t>
      </w:r>
      <w:proofErr w:type="spellStart"/>
      <w:r>
        <w:rPr>
          <w:rFonts w:ascii="Times New Roman" w:eastAsia="Times New Roman" w:hAnsi="Times New Roman" w:cs="Times New Roman"/>
          <w:color w:val="0F1115"/>
          <w:kern w:val="0"/>
          <w:sz w:val="24"/>
          <w:szCs w:val="24"/>
          <w:lang w:eastAsia="pt-BR"/>
          <w14:ligatures w14:val="none"/>
        </w:rPr>
        <w:t>Charcot</w:t>
      </w:r>
      <w:proofErr w:type="spellEnd"/>
      <w:r>
        <w:rPr>
          <w:rFonts w:ascii="Times New Roman" w:eastAsia="Times New Roman" w:hAnsi="Times New Roman" w:cs="Times New Roman"/>
          <w:color w:val="0F1115"/>
          <w:kern w:val="0"/>
          <w:sz w:val="24"/>
          <w:szCs w:val="24"/>
          <w:lang w:eastAsia="pt-BR"/>
          <w14:ligatures w14:val="none"/>
        </w:rPr>
        <w:t xml:space="preserve"> simultaneamente revelava e, de forma crucial, </w:t>
      </w:r>
      <w:r>
        <w:rPr>
          <w:rFonts w:ascii="Times New Roman" w:eastAsia="Times New Roman" w:hAnsi="Times New Roman" w:cs="Times New Roman"/>
          <w:i/>
          <w:iCs/>
          <w:color w:val="0F1115"/>
          <w:kern w:val="0"/>
          <w:sz w:val="24"/>
          <w:szCs w:val="24"/>
          <w:lang w:eastAsia="pt-BR"/>
          <w14:ligatures w14:val="none"/>
        </w:rPr>
        <w:t>modelava</w:t>
      </w:r>
      <w:r>
        <w:rPr>
          <w:rFonts w:ascii="Times New Roman" w:eastAsia="Times New Roman" w:hAnsi="Times New Roman" w:cs="Times New Roman"/>
          <w:color w:val="0F1115"/>
          <w:kern w:val="0"/>
          <w:sz w:val="24"/>
          <w:szCs w:val="24"/>
          <w:lang w:eastAsia="pt-BR"/>
          <w14:ligatures w14:val="none"/>
        </w:rPr>
        <w:t> a própria expressão da doença que se propunha a estudar. Ele "</w:t>
      </w:r>
      <w:proofErr w:type="spellStart"/>
      <w:r>
        <w:rPr>
          <w:rFonts w:ascii="Times New Roman" w:eastAsia="Times New Roman" w:hAnsi="Times New Roman" w:cs="Times New Roman"/>
          <w:color w:val="0F1115"/>
          <w:kern w:val="0"/>
          <w:sz w:val="24"/>
          <w:szCs w:val="24"/>
          <w:lang w:eastAsia="pt-BR"/>
          <w14:ligatures w14:val="none"/>
        </w:rPr>
        <w:t>objetalizou</w:t>
      </w:r>
      <w:proofErr w:type="spellEnd"/>
      <w:proofErr w:type="gramStart"/>
      <w:r>
        <w:rPr>
          <w:rFonts w:ascii="Times New Roman" w:eastAsia="Times New Roman" w:hAnsi="Times New Roman" w:cs="Times New Roman"/>
          <w:color w:val="0F1115"/>
          <w:kern w:val="0"/>
          <w:sz w:val="24"/>
          <w:szCs w:val="24"/>
          <w:lang w:eastAsia="pt-BR"/>
          <w14:ligatures w14:val="none"/>
        </w:rPr>
        <w:t>"  as</w:t>
      </w:r>
      <w:proofErr w:type="gramEnd"/>
      <w:r>
        <w:rPr>
          <w:rFonts w:ascii="Times New Roman" w:eastAsia="Times New Roman" w:hAnsi="Times New Roman" w:cs="Times New Roman"/>
          <w:color w:val="0F1115"/>
          <w:kern w:val="0"/>
          <w:sz w:val="24"/>
          <w:szCs w:val="24"/>
          <w:lang w:eastAsia="pt-BR"/>
          <w14:ligatures w14:val="none"/>
        </w:rPr>
        <w:t xml:space="preserve"> pacientes, transformando seu sofrimento em espetáculo clínico.</w:t>
      </w:r>
    </w:p>
    <w:p w14:paraId="23E73DFA"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 xml:space="preserve">Foi com Sigmund Freud, que estudou com </w:t>
      </w:r>
      <w:proofErr w:type="spellStart"/>
      <w:r>
        <w:rPr>
          <w:rFonts w:ascii="Times New Roman" w:eastAsia="Times New Roman" w:hAnsi="Times New Roman" w:cs="Times New Roman"/>
          <w:color w:val="0F1115"/>
          <w:kern w:val="0"/>
          <w:sz w:val="24"/>
          <w:szCs w:val="24"/>
          <w:lang w:eastAsia="pt-BR"/>
          <w14:ligatures w14:val="none"/>
        </w:rPr>
        <w:t>Charcot</w:t>
      </w:r>
      <w:proofErr w:type="spellEnd"/>
      <w:r>
        <w:rPr>
          <w:rFonts w:ascii="Times New Roman" w:eastAsia="Times New Roman" w:hAnsi="Times New Roman" w:cs="Times New Roman"/>
          <w:color w:val="0F1115"/>
          <w:kern w:val="0"/>
          <w:sz w:val="24"/>
          <w:szCs w:val="24"/>
          <w:lang w:eastAsia="pt-BR"/>
          <w14:ligatures w14:val="none"/>
        </w:rPr>
        <w:t>, que a histeria adquiriu uma dimensão psíquica definitiva. Em "Estudos sobre a Histeria" (1895), escrito com Joseph Breuer, propôs que os sintomas representavam conversões simbólicas de traumas e conflitos inconscientes. A paciente histérica não estava doente do útero, mas da alma; seu corpo falava o que sua mente não conseguia articular.</w:t>
      </w:r>
    </w:p>
    <w:p w14:paraId="794158B0" w14:textId="77777777" w:rsidR="0003312E" w:rsidRDefault="0003312E">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p>
    <w:p w14:paraId="5AF452F8" w14:textId="77777777" w:rsidR="0003312E" w:rsidRDefault="0003312E">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p>
    <w:p w14:paraId="6A1FD7D2" w14:textId="77777777" w:rsidR="0003312E" w:rsidRDefault="0003312E">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p>
    <w:p w14:paraId="62A78A6C" w14:textId="77777777" w:rsidR="0003312E" w:rsidRDefault="0003312E">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p>
    <w:p w14:paraId="50764A18" w14:textId="77777777" w:rsidR="0003312E" w:rsidRDefault="0003312E">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p>
    <w:p w14:paraId="74359EEA"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b/>
          <w:bCs/>
          <w:color w:val="0F1115"/>
          <w:kern w:val="0"/>
          <w:sz w:val="24"/>
          <w:szCs w:val="24"/>
          <w:lang w:eastAsia="pt-BR"/>
          <w14:ligatures w14:val="none"/>
        </w:rPr>
        <w:lastRenderedPageBreak/>
        <w:t>Quadro 7.1. A Evolução da Histeria: Do Mito ao Cérebro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16"/>
        <w:gridCol w:w="2373"/>
        <w:gridCol w:w="5172"/>
      </w:tblGrid>
      <w:tr w:rsidR="0003312E" w14:paraId="510CA305" w14:textId="77777777">
        <w:trPr>
          <w:tblHeader/>
        </w:trPr>
        <w:tc>
          <w:tcPr>
            <w:tcW w:w="0" w:type="auto"/>
            <w:tcMar>
              <w:top w:w="150" w:type="dxa"/>
              <w:left w:w="0" w:type="dxa"/>
              <w:bottom w:w="150" w:type="dxa"/>
              <w:right w:w="240" w:type="dxa"/>
            </w:tcMar>
            <w:vAlign w:val="center"/>
          </w:tcPr>
          <w:p w14:paraId="481E68F9" w14:textId="77777777" w:rsidR="0003312E" w:rsidRDefault="00000000">
            <w:pPr>
              <w:spacing w:after="0" w:line="240" w:lineRule="auto"/>
              <w:rPr>
                <w:rFonts w:ascii="Times New Roman" w:eastAsia="Times New Roman" w:hAnsi="Times New Roman" w:cs="Times New Roman"/>
                <w:b/>
                <w:bCs/>
                <w:kern w:val="0"/>
                <w:sz w:val="20"/>
                <w:szCs w:val="20"/>
                <w:lang w:eastAsia="pt-BR"/>
                <w14:ligatures w14:val="none"/>
              </w:rPr>
            </w:pPr>
            <w:r>
              <w:rPr>
                <w:rFonts w:ascii="Times New Roman" w:eastAsia="Times New Roman" w:hAnsi="Times New Roman" w:cs="Times New Roman"/>
                <w:b/>
                <w:bCs/>
                <w:kern w:val="0"/>
                <w:sz w:val="20"/>
                <w:szCs w:val="20"/>
                <w:lang w:eastAsia="pt-BR"/>
                <w14:ligatures w14:val="none"/>
              </w:rPr>
              <w:t>Época</w:t>
            </w:r>
          </w:p>
        </w:tc>
        <w:tc>
          <w:tcPr>
            <w:tcW w:w="0" w:type="auto"/>
            <w:tcMar>
              <w:top w:w="150" w:type="dxa"/>
              <w:left w:w="240" w:type="dxa"/>
              <w:bottom w:w="150" w:type="dxa"/>
              <w:right w:w="240" w:type="dxa"/>
            </w:tcMar>
            <w:vAlign w:val="center"/>
          </w:tcPr>
          <w:p w14:paraId="51ADFCEF" w14:textId="77777777" w:rsidR="0003312E" w:rsidRDefault="00000000">
            <w:pPr>
              <w:spacing w:after="0" w:line="240" w:lineRule="auto"/>
              <w:rPr>
                <w:rFonts w:ascii="Times New Roman" w:eastAsia="Times New Roman" w:hAnsi="Times New Roman" w:cs="Times New Roman"/>
                <w:b/>
                <w:bCs/>
                <w:kern w:val="0"/>
                <w:sz w:val="20"/>
                <w:szCs w:val="20"/>
                <w:lang w:eastAsia="pt-BR"/>
                <w14:ligatures w14:val="none"/>
              </w:rPr>
            </w:pPr>
            <w:r>
              <w:rPr>
                <w:rFonts w:ascii="Times New Roman" w:eastAsia="Times New Roman" w:hAnsi="Times New Roman" w:cs="Times New Roman"/>
                <w:b/>
                <w:bCs/>
                <w:kern w:val="0"/>
                <w:sz w:val="20"/>
                <w:szCs w:val="20"/>
                <w:lang w:eastAsia="pt-BR"/>
                <w14:ligatures w14:val="none"/>
              </w:rPr>
              <w:t>Marco</w:t>
            </w:r>
          </w:p>
        </w:tc>
        <w:tc>
          <w:tcPr>
            <w:tcW w:w="0" w:type="auto"/>
            <w:tcMar>
              <w:top w:w="150" w:type="dxa"/>
              <w:left w:w="240" w:type="dxa"/>
              <w:bottom w:w="150" w:type="dxa"/>
              <w:right w:w="240" w:type="dxa"/>
            </w:tcMar>
            <w:vAlign w:val="center"/>
          </w:tcPr>
          <w:p w14:paraId="1ACD4CEB" w14:textId="77777777" w:rsidR="0003312E" w:rsidRDefault="00000000">
            <w:pPr>
              <w:spacing w:after="0" w:line="240" w:lineRule="auto"/>
              <w:rPr>
                <w:rFonts w:ascii="Times New Roman" w:eastAsia="Times New Roman" w:hAnsi="Times New Roman" w:cs="Times New Roman"/>
                <w:b/>
                <w:bCs/>
                <w:kern w:val="0"/>
                <w:sz w:val="20"/>
                <w:szCs w:val="20"/>
                <w:lang w:eastAsia="pt-BR"/>
                <w14:ligatures w14:val="none"/>
              </w:rPr>
            </w:pPr>
            <w:r>
              <w:rPr>
                <w:rFonts w:ascii="Times New Roman" w:eastAsia="Times New Roman" w:hAnsi="Times New Roman" w:cs="Times New Roman"/>
                <w:b/>
                <w:bCs/>
                <w:kern w:val="0"/>
                <w:sz w:val="20"/>
                <w:szCs w:val="20"/>
                <w:lang w:eastAsia="pt-BR"/>
                <w14:ligatures w14:val="none"/>
              </w:rPr>
              <w:t>Significado e Impacto</w:t>
            </w:r>
          </w:p>
        </w:tc>
      </w:tr>
      <w:tr w:rsidR="0003312E" w14:paraId="31AEE779" w14:textId="77777777">
        <w:tc>
          <w:tcPr>
            <w:tcW w:w="0" w:type="auto"/>
            <w:tcMar>
              <w:top w:w="150" w:type="dxa"/>
              <w:left w:w="0" w:type="dxa"/>
              <w:bottom w:w="150" w:type="dxa"/>
              <w:right w:w="240" w:type="dxa"/>
            </w:tcMar>
            <w:vAlign w:val="center"/>
          </w:tcPr>
          <w:p w14:paraId="6CD6D3E0" w14:textId="77777777" w:rsidR="0003312E" w:rsidRDefault="00000000">
            <w:pPr>
              <w:spacing w:after="0" w:line="240" w:lineRule="auto"/>
              <w:rPr>
                <w:rFonts w:ascii="Times New Roman" w:eastAsia="Times New Roman" w:hAnsi="Times New Roman" w:cs="Times New Roman"/>
                <w:b/>
                <w:bCs/>
                <w:kern w:val="0"/>
                <w:sz w:val="20"/>
                <w:szCs w:val="20"/>
                <w:lang w:eastAsia="pt-BR"/>
                <w14:ligatures w14:val="none"/>
              </w:rPr>
            </w:pPr>
            <w:r>
              <w:rPr>
                <w:rFonts w:ascii="Times New Roman" w:eastAsia="Times New Roman" w:hAnsi="Times New Roman" w:cs="Times New Roman"/>
                <w:b/>
                <w:bCs/>
                <w:kern w:val="0"/>
                <w:sz w:val="20"/>
                <w:szCs w:val="20"/>
                <w:lang w:eastAsia="pt-BR"/>
                <w14:ligatures w14:val="none"/>
              </w:rPr>
              <w:t>Grécia Antiga (Hipócrates)</w:t>
            </w:r>
          </w:p>
        </w:tc>
        <w:tc>
          <w:tcPr>
            <w:tcW w:w="0" w:type="auto"/>
            <w:tcMar>
              <w:top w:w="150" w:type="dxa"/>
              <w:left w:w="240" w:type="dxa"/>
              <w:bottom w:w="150" w:type="dxa"/>
              <w:right w:w="240" w:type="dxa"/>
            </w:tcMar>
            <w:vAlign w:val="center"/>
          </w:tcPr>
          <w:p w14:paraId="088B2925"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kern w:val="0"/>
                <w:sz w:val="20"/>
                <w:szCs w:val="20"/>
                <w:lang w:eastAsia="pt-BR"/>
                <w14:ligatures w14:val="none"/>
              </w:rPr>
              <w:t>Teoria do "útero errante"</w:t>
            </w:r>
          </w:p>
        </w:tc>
        <w:tc>
          <w:tcPr>
            <w:tcW w:w="0" w:type="auto"/>
            <w:tcMar>
              <w:top w:w="150" w:type="dxa"/>
              <w:left w:w="240" w:type="dxa"/>
              <w:bottom w:w="150" w:type="dxa"/>
              <w:right w:w="0" w:type="dxa"/>
            </w:tcMar>
            <w:vAlign w:val="center"/>
          </w:tcPr>
          <w:p w14:paraId="5DB63227"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kern w:val="0"/>
                <w:sz w:val="20"/>
                <w:szCs w:val="20"/>
                <w:lang w:eastAsia="pt-BR"/>
                <w14:ligatures w14:val="none"/>
              </w:rPr>
              <w:t>Explicação ginecológica: o útero (</w:t>
            </w:r>
            <w:proofErr w:type="spellStart"/>
            <w:r>
              <w:rPr>
                <w:rFonts w:ascii="Times New Roman" w:eastAsia="Times New Roman" w:hAnsi="Times New Roman" w:cs="Times New Roman"/>
                <w:kern w:val="0"/>
                <w:sz w:val="20"/>
                <w:szCs w:val="20"/>
                <w:lang w:eastAsia="pt-BR"/>
                <w14:ligatures w14:val="none"/>
              </w:rPr>
              <w:t>hystera</w:t>
            </w:r>
            <w:proofErr w:type="spellEnd"/>
            <w:r>
              <w:rPr>
                <w:rFonts w:ascii="Times New Roman" w:eastAsia="Times New Roman" w:hAnsi="Times New Roman" w:cs="Times New Roman"/>
                <w:kern w:val="0"/>
                <w:sz w:val="20"/>
                <w:szCs w:val="20"/>
                <w:lang w:eastAsia="pt-BR"/>
                <w14:ligatures w14:val="none"/>
              </w:rPr>
              <w:t xml:space="preserve">), insatisfeito, deslocava-se pelo corpo, causando sufocação e sintomas diversos. Patologização e </w:t>
            </w:r>
            <w:proofErr w:type="spellStart"/>
            <w:r>
              <w:rPr>
                <w:rFonts w:ascii="Times New Roman" w:eastAsia="Times New Roman" w:hAnsi="Times New Roman" w:cs="Times New Roman"/>
                <w:kern w:val="0"/>
                <w:sz w:val="20"/>
                <w:szCs w:val="20"/>
                <w:lang w:eastAsia="pt-BR"/>
                <w14:ligatures w14:val="none"/>
              </w:rPr>
              <w:t>genderização</w:t>
            </w:r>
            <w:proofErr w:type="spellEnd"/>
            <w:r>
              <w:rPr>
                <w:rFonts w:ascii="Times New Roman" w:eastAsia="Times New Roman" w:hAnsi="Times New Roman" w:cs="Times New Roman"/>
                <w:kern w:val="0"/>
                <w:sz w:val="20"/>
                <w:szCs w:val="20"/>
                <w:lang w:eastAsia="pt-BR"/>
                <w14:ligatures w14:val="none"/>
              </w:rPr>
              <w:t xml:space="preserve"> da histeria desde sua origem, restringindo-a ao sexo feminino.</w:t>
            </w:r>
          </w:p>
        </w:tc>
      </w:tr>
      <w:tr w:rsidR="0003312E" w14:paraId="31FB71CA" w14:textId="77777777">
        <w:tc>
          <w:tcPr>
            <w:tcW w:w="0" w:type="auto"/>
            <w:tcMar>
              <w:top w:w="150" w:type="dxa"/>
              <w:left w:w="0" w:type="dxa"/>
              <w:bottom w:w="150" w:type="dxa"/>
              <w:right w:w="240" w:type="dxa"/>
            </w:tcMar>
            <w:vAlign w:val="center"/>
          </w:tcPr>
          <w:p w14:paraId="1DF2D69D" w14:textId="77777777" w:rsidR="0003312E" w:rsidRDefault="00000000">
            <w:pPr>
              <w:spacing w:after="0" w:line="240" w:lineRule="auto"/>
              <w:rPr>
                <w:rFonts w:ascii="Times New Roman" w:eastAsia="Times New Roman" w:hAnsi="Times New Roman" w:cs="Times New Roman"/>
                <w:b/>
                <w:bCs/>
                <w:kern w:val="0"/>
                <w:sz w:val="20"/>
                <w:szCs w:val="20"/>
                <w:lang w:eastAsia="pt-BR"/>
                <w14:ligatures w14:val="none"/>
              </w:rPr>
            </w:pPr>
            <w:r>
              <w:rPr>
                <w:rFonts w:ascii="Times New Roman" w:eastAsia="Times New Roman" w:hAnsi="Times New Roman" w:cs="Times New Roman"/>
                <w:b/>
                <w:bCs/>
                <w:kern w:val="0"/>
                <w:sz w:val="20"/>
                <w:szCs w:val="20"/>
                <w:lang w:eastAsia="pt-BR"/>
                <w14:ligatures w14:val="none"/>
              </w:rPr>
              <w:t>Idade Média</w:t>
            </w:r>
          </w:p>
        </w:tc>
        <w:tc>
          <w:tcPr>
            <w:tcW w:w="0" w:type="auto"/>
            <w:tcMar>
              <w:top w:w="150" w:type="dxa"/>
              <w:left w:w="240" w:type="dxa"/>
              <w:bottom w:w="150" w:type="dxa"/>
              <w:right w:w="240" w:type="dxa"/>
            </w:tcMar>
            <w:vAlign w:val="center"/>
          </w:tcPr>
          <w:p w14:paraId="08200DB8"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kern w:val="0"/>
                <w:sz w:val="20"/>
                <w:szCs w:val="20"/>
                <w:lang w:eastAsia="pt-BR"/>
                <w14:ligatures w14:val="none"/>
              </w:rPr>
              <w:t>Histeria como possessão</w:t>
            </w:r>
          </w:p>
        </w:tc>
        <w:tc>
          <w:tcPr>
            <w:tcW w:w="0" w:type="auto"/>
            <w:tcMar>
              <w:top w:w="150" w:type="dxa"/>
              <w:left w:w="240" w:type="dxa"/>
              <w:bottom w:w="150" w:type="dxa"/>
              <w:right w:w="0" w:type="dxa"/>
            </w:tcMar>
            <w:vAlign w:val="center"/>
          </w:tcPr>
          <w:p w14:paraId="50BB06A9"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kern w:val="0"/>
                <w:sz w:val="20"/>
                <w:szCs w:val="20"/>
                <w:lang w:eastAsia="pt-BR"/>
                <w14:ligatures w14:val="none"/>
              </w:rPr>
              <w:t>Interpretação religiosa: sintomas atribuídos a demônios ou forças malignas. Tratamentos envolviam exorcismos e rituais de purificação, criminalizando e moralizando o sofrimento.</w:t>
            </w:r>
          </w:p>
        </w:tc>
      </w:tr>
      <w:tr w:rsidR="0003312E" w14:paraId="00DC28C1" w14:textId="77777777">
        <w:tc>
          <w:tcPr>
            <w:tcW w:w="0" w:type="auto"/>
            <w:tcMar>
              <w:top w:w="150" w:type="dxa"/>
              <w:left w:w="0" w:type="dxa"/>
              <w:bottom w:w="150" w:type="dxa"/>
              <w:right w:w="240" w:type="dxa"/>
            </w:tcMar>
            <w:vAlign w:val="center"/>
          </w:tcPr>
          <w:p w14:paraId="1649178B" w14:textId="77777777" w:rsidR="0003312E" w:rsidRDefault="00000000">
            <w:pPr>
              <w:spacing w:after="0" w:line="240" w:lineRule="auto"/>
              <w:rPr>
                <w:rFonts w:ascii="Times New Roman" w:eastAsia="Times New Roman" w:hAnsi="Times New Roman" w:cs="Times New Roman"/>
                <w:b/>
                <w:bCs/>
                <w:kern w:val="0"/>
                <w:sz w:val="20"/>
                <w:szCs w:val="20"/>
                <w:lang w:eastAsia="pt-BR"/>
                <w14:ligatures w14:val="none"/>
              </w:rPr>
            </w:pPr>
            <w:r>
              <w:rPr>
                <w:rFonts w:ascii="Times New Roman" w:eastAsia="Times New Roman" w:hAnsi="Times New Roman" w:cs="Times New Roman"/>
                <w:b/>
                <w:bCs/>
                <w:kern w:val="0"/>
                <w:sz w:val="20"/>
                <w:szCs w:val="20"/>
                <w:lang w:eastAsia="pt-BR"/>
                <w14:ligatures w14:val="none"/>
              </w:rPr>
              <w:t>Séculos XVII-XVIII</w:t>
            </w:r>
          </w:p>
        </w:tc>
        <w:tc>
          <w:tcPr>
            <w:tcW w:w="0" w:type="auto"/>
            <w:tcMar>
              <w:top w:w="150" w:type="dxa"/>
              <w:left w:w="240" w:type="dxa"/>
              <w:bottom w:w="150" w:type="dxa"/>
              <w:right w:w="240" w:type="dxa"/>
            </w:tcMar>
            <w:vAlign w:val="center"/>
          </w:tcPr>
          <w:p w14:paraId="0D18FC14"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kern w:val="0"/>
                <w:sz w:val="20"/>
                <w:szCs w:val="20"/>
                <w:lang w:eastAsia="pt-BR"/>
                <w14:ligatures w14:val="none"/>
              </w:rPr>
              <w:t>Reconhecimento da complexidade psicossomática</w:t>
            </w:r>
          </w:p>
        </w:tc>
        <w:tc>
          <w:tcPr>
            <w:tcW w:w="0" w:type="auto"/>
            <w:tcMar>
              <w:top w:w="150" w:type="dxa"/>
              <w:left w:w="240" w:type="dxa"/>
              <w:bottom w:w="150" w:type="dxa"/>
              <w:right w:w="0" w:type="dxa"/>
            </w:tcMar>
            <w:vAlign w:val="center"/>
          </w:tcPr>
          <w:p w14:paraId="128B30CF"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kern w:val="0"/>
                <w:sz w:val="20"/>
                <w:szCs w:val="20"/>
                <w:lang w:eastAsia="pt-BR"/>
                <w14:ligatures w14:val="none"/>
              </w:rPr>
              <w:t xml:space="preserve">Médicos como Thomas </w:t>
            </w:r>
            <w:proofErr w:type="spellStart"/>
            <w:r>
              <w:rPr>
                <w:rFonts w:ascii="Times New Roman" w:eastAsia="Times New Roman" w:hAnsi="Times New Roman" w:cs="Times New Roman"/>
                <w:kern w:val="0"/>
                <w:sz w:val="20"/>
                <w:szCs w:val="20"/>
                <w:lang w:eastAsia="pt-BR"/>
                <w14:ligatures w14:val="none"/>
              </w:rPr>
              <w:t>Sydenham</w:t>
            </w:r>
            <w:proofErr w:type="spellEnd"/>
            <w:r>
              <w:rPr>
                <w:rFonts w:ascii="Times New Roman" w:eastAsia="Times New Roman" w:hAnsi="Times New Roman" w:cs="Times New Roman"/>
                <w:kern w:val="0"/>
                <w:sz w:val="20"/>
                <w:szCs w:val="20"/>
                <w:lang w:eastAsia="pt-BR"/>
                <w14:ligatures w14:val="none"/>
              </w:rPr>
              <w:t xml:space="preserve"> avançam na compreensão da histeria como condição psicofisiológica complexa, embora mantendo associação com o feminino.</w:t>
            </w:r>
          </w:p>
        </w:tc>
      </w:tr>
      <w:tr w:rsidR="0003312E" w14:paraId="14E93275" w14:textId="77777777">
        <w:tc>
          <w:tcPr>
            <w:tcW w:w="0" w:type="auto"/>
            <w:tcMar>
              <w:top w:w="150" w:type="dxa"/>
              <w:left w:w="0" w:type="dxa"/>
              <w:bottom w:w="150" w:type="dxa"/>
              <w:right w:w="240" w:type="dxa"/>
            </w:tcMar>
            <w:vAlign w:val="center"/>
          </w:tcPr>
          <w:p w14:paraId="19142665" w14:textId="77777777" w:rsidR="0003312E" w:rsidRDefault="00000000">
            <w:pPr>
              <w:spacing w:after="0" w:line="240" w:lineRule="auto"/>
              <w:rPr>
                <w:rFonts w:ascii="Times New Roman" w:eastAsia="Times New Roman" w:hAnsi="Times New Roman" w:cs="Times New Roman"/>
                <w:b/>
                <w:bCs/>
                <w:kern w:val="0"/>
                <w:sz w:val="20"/>
                <w:szCs w:val="20"/>
                <w:lang w:eastAsia="pt-BR"/>
                <w14:ligatures w14:val="none"/>
              </w:rPr>
            </w:pPr>
            <w:r>
              <w:rPr>
                <w:rFonts w:ascii="Times New Roman" w:eastAsia="Times New Roman" w:hAnsi="Times New Roman" w:cs="Times New Roman"/>
                <w:b/>
                <w:bCs/>
                <w:kern w:val="0"/>
                <w:sz w:val="20"/>
                <w:szCs w:val="20"/>
                <w:lang w:eastAsia="pt-BR"/>
                <w14:ligatures w14:val="none"/>
              </w:rPr>
              <w:t>Século XIX (</w:t>
            </w:r>
            <w:proofErr w:type="spellStart"/>
            <w:r>
              <w:rPr>
                <w:rFonts w:ascii="Times New Roman" w:eastAsia="Times New Roman" w:hAnsi="Times New Roman" w:cs="Times New Roman"/>
                <w:b/>
                <w:bCs/>
                <w:kern w:val="0"/>
                <w:sz w:val="20"/>
                <w:szCs w:val="20"/>
                <w:lang w:eastAsia="pt-BR"/>
                <w14:ligatures w14:val="none"/>
              </w:rPr>
              <w:t>Charcot</w:t>
            </w:r>
            <w:proofErr w:type="spellEnd"/>
            <w:r>
              <w:rPr>
                <w:rFonts w:ascii="Times New Roman" w:eastAsia="Times New Roman" w:hAnsi="Times New Roman" w:cs="Times New Roman"/>
                <w:b/>
                <w:bCs/>
                <w:kern w:val="0"/>
                <w:sz w:val="20"/>
                <w:szCs w:val="20"/>
                <w:lang w:eastAsia="pt-BR"/>
                <w14:ligatures w14:val="none"/>
              </w:rPr>
              <w:t>)</w:t>
            </w:r>
          </w:p>
        </w:tc>
        <w:tc>
          <w:tcPr>
            <w:tcW w:w="0" w:type="auto"/>
            <w:tcMar>
              <w:top w:w="150" w:type="dxa"/>
              <w:left w:w="240" w:type="dxa"/>
              <w:bottom w:w="150" w:type="dxa"/>
              <w:right w:w="240" w:type="dxa"/>
            </w:tcMar>
            <w:vAlign w:val="center"/>
          </w:tcPr>
          <w:p w14:paraId="35119F99"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kern w:val="0"/>
                <w:sz w:val="20"/>
                <w:szCs w:val="20"/>
                <w:lang w:eastAsia="pt-BR"/>
                <w14:ligatures w14:val="none"/>
              </w:rPr>
              <w:t xml:space="preserve">Medicalização na </w:t>
            </w:r>
            <w:proofErr w:type="spellStart"/>
            <w:r>
              <w:rPr>
                <w:rFonts w:ascii="Times New Roman" w:eastAsia="Times New Roman" w:hAnsi="Times New Roman" w:cs="Times New Roman"/>
                <w:kern w:val="0"/>
                <w:sz w:val="20"/>
                <w:szCs w:val="20"/>
                <w:lang w:eastAsia="pt-BR"/>
                <w14:ligatures w14:val="none"/>
              </w:rPr>
              <w:t>Salpêtrière</w:t>
            </w:r>
            <w:proofErr w:type="spellEnd"/>
          </w:p>
        </w:tc>
        <w:tc>
          <w:tcPr>
            <w:tcW w:w="0" w:type="auto"/>
            <w:tcMar>
              <w:top w:w="150" w:type="dxa"/>
              <w:left w:w="240" w:type="dxa"/>
              <w:bottom w:w="150" w:type="dxa"/>
              <w:right w:w="0" w:type="dxa"/>
            </w:tcMar>
            <w:vAlign w:val="center"/>
          </w:tcPr>
          <w:p w14:paraId="00248AB0"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proofErr w:type="spellStart"/>
            <w:r>
              <w:rPr>
                <w:rFonts w:ascii="Times New Roman" w:eastAsia="Times New Roman" w:hAnsi="Times New Roman" w:cs="Times New Roman"/>
                <w:kern w:val="0"/>
                <w:sz w:val="20"/>
                <w:szCs w:val="20"/>
                <w:lang w:eastAsia="pt-BR"/>
                <w14:ligatures w14:val="none"/>
              </w:rPr>
              <w:t>Charcot</w:t>
            </w:r>
            <w:proofErr w:type="spellEnd"/>
            <w:r>
              <w:rPr>
                <w:rFonts w:ascii="Times New Roman" w:eastAsia="Times New Roman" w:hAnsi="Times New Roman" w:cs="Times New Roman"/>
                <w:kern w:val="0"/>
                <w:sz w:val="20"/>
                <w:szCs w:val="20"/>
                <w:lang w:eastAsia="pt-BR"/>
                <w14:ligatures w14:val="none"/>
              </w:rPr>
              <w:t> estabelece a histeria como uma doença nervosa legítima, embora ainda buscando uma base anatômica. Prova que também afeta homens. Transforma o sofrimento em demonstração clínica com hipnose, dessacralizando-a, mas também criando um "espetáculo" médico.</w:t>
            </w:r>
          </w:p>
        </w:tc>
      </w:tr>
      <w:tr w:rsidR="0003312E" w14:paraId="6CE26DBA" w14:textId="77777777">
        <w:tc>
          <w:tcPr>
            <w:tcW w:w="0" w:type="auto"/>
            <w:tcMar>
              <w:top w:w="150" w:type="dxa"/>
              <w:left w:w="0" w:type="dxa"/>
              <w:bottom w:w="150" w:type="dxa"/>
              <w:right w:w="240" w:type="dxa"/>
            </w:tcMar>
            <w:vAlign w:val="center"/>
          </w:tcPr>
          <w:p w14:paraId="51416A4A" w14:textId="77777777" w:rsidR="0003312E" w:rsidRDefault="00000000">
            <w:pPr>
              <w:spacing w:after="0" w:line="240" w:lineRule="auto"/>
              <w:rPr>
                <w:rFonts w:ascii="Times New Roman" w:eastAsia="Times New Roman" w:hAnsi="Times New Roman" w:cs="Times New Roman"/>
                <w:b/>
                <w:bCs/>
                <w:kern w:val="0"/>
                <w:sz w:val="20"/>
                <w:szCs w:val="20"/>
                <w:lang w:eastAsia="pt-BR"/>
                <w14:ligatures w14:val="none"/>
              </w:rPr>
            </w:pPr>
            <w:r>
              <w:rPr>
                <w:rFonts w:ascii="Times New Roman" w:eastAsia="Times New Roman" w:hAnsi="Times New Roman" w:cs="Times New Roman"/>
                <w:b/>
                <w:bCs/>
                <w:kern w:val="0"/>
                <w:sz w:val="20"/>
                <w:szCs w:val="20"/>
                <w:lang w:eastAsia="pt-BR"/>
                <w14:ligatures w14:val="none"/>
              </w:rPr>
              <w:t>Final do Século XIX</w:t>
            </w:r>
          </w:p>
        </w:tc>
        <w:tc>
          <w:tcPr>
            <w:tcW w:w="0" w:type="auto"/>
            <w:tcMar>
              <w:top w:w="150" w:type="dxa"/>
              <w:left w:w="240" w:type="dxa"/>
              <w:bottom w:w="150" w:type="dxa"/>
              <w:right w:w="240" w:type="dxa"/>
            </w:tcMar>
            <w:vAlign w:val="center"/>
          </w:tcPr>
          <w:p w14:paraId="559776C9"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kern w:val="0"/>
                <w:sz w:val="20"/>
                <w:szCs w:val="20"/>
                <w:lang w:eastAsia="pt-BR"/>
                <w14:ligatures w14:val="none"/>
              </w:rPr>
              <w:t>Freud e Breuer</w:t>
            </w:r>
          </w:p>
        </w:tc>
        <w:tc>
          <w:tcPr>
            <w:tcW w:w="0" w:type="auto"/>
            <w:tcMar>
              <w:top w:w="150" w:type="dxa"/>
              <w:left w:w="240" w:type="dxa"/>
              <w:bottom w:w="150" w:type="dxa"/>
              <w:right w:w="0" w:type="dxa"/>
            </w:tcMar>
            <w:vAlign w:val="center"/>
          </w:tcPr>
          <w:p w14:paraId="2EB4E5D8"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kern w:val="0"/>
                <w:sz w:val="20"/>
                <w:szCs w:val="20"/>
                <w:lang w:eastAsia="pt-BR"/>
                <w14:ligatures w14:val="none"/>
              </w:rPr>
              <w:t>Psicologização: em Estudos sobre a Histeria, propõem que os sintomas são conversões de traumas inconscientes. A histeria deixa de ser doença do útero para tornar-se linguagem do inconsciente, fundando a psicanálise.</w:t>
            </w:r>
          </w:p>
        </w:tc>
      </w:tr>
      <w:tr w:rsidR="0003312E" w14:paraId="4C431DDB" w14:textId="77777777">
        <w:tc>
          <w:tcPr>
            <w:tcW w:w="0" w:type="auto"/>
            <w:tcMar>
              <w:top w:w="150" w:type="dxa"/>
              <w:left w:w="0" w:type="dxa"/>
              <w:bottom w:w="150" w:type="dxa"/>
              <w:right w:w="240" w:type="dxa"/>
            </w:tcMar>
            <w:vAlign w:val="center"/>
          </w:tcPr>
          <w:p w14:paraId="459865BE" w14:textId="0550C790" w:rsidR="0003312E" w:rsidRDefault="00000000">
            <w:pPr>
              <w:spacing w:after="0" w:line="240" w:lineRule="auto"/>
              <w:rPr>
                <w:rFonts w:ascii="Times New Roman" w:eastAsia="Times New Roman" w:hAnsi="Times New Roman" w:cs="Times New Roman"/>
                <w:b/>
                <w:bCs/>
                <w:kern w:val="0"/>
                <w:sz w:val="20"/>
                <w:szCs w:val="20"/>
                <w:lang w:eastAsia="pt-BR"/>
                <w14:ligatures w14:val="none"/>
              </w:rPr>
            </w:pPr>
            <w:r>
              <w:rPr>
                <w:rFonts w:ascii="Times New Roman" w:eastAsia="Times New Roman" w:hAnsi="Times New Roman" w:cs="Times New Roman"/>
                <w:b/>
                <w:bCs/>
                <w:kern w:val="0"/>
                <w:sz w:val="20"/>
                <w:szCs w:val="20"/>
                <w:lang w:eastAsia="pt-BR"/>
                <w14:ligatures w14:val="none"/>
              </w:rPr>
              <w:t>éculo XX (DSM-III)</w:t>
            </w:r>
          </w:p>
        </w:tc>
        <w:tc>
          <w:tcPr>
            <w:tcW w:w="0" w:type="auto"/>
            <w:tcMar>
              <w:top w:w="150" w:type="dxa"/>
              <w:left w:w="240" w:type="dxa"/>
              <w:bottom w:w="150" w:type="dxa"/>
              <w:right w:w="240" w:type="dxa"/>
            </w:tcMar>
            <w:vAlign w:val="center"/>
          </w:tcPr>
          <w:p w14:paraId="0283F688"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kern w:val="0"/>
                <w:sz w:val="20"/>
                <w:szCs w:val="20"/>
                <w:lang w:eastAsia="pt-BR"/>
                <w14:ligatures w14:val="none"/>
              </w:rPr>
              <w:t>Abandono do termo</w:t>
            </w:r>
          </w:p>
        </w:tc>
        <w:tc>
          <w:tcPr>
            <w:tcW w:w="0" w:type="auto"/>
            <w:tcMar>
              <w:top w:w="150" w:type="dxa"/>
              <w:left w:w="240" w:type="dxa"/>
              <w:bottom w:w="150" w:type="dxa"/>
              <w:right w:w="0" w:type="dxa"/>
            </w:tcMar>
            <w:vAlign w:val="center"/>
          </w:tcPr>
          <w:p w14:paraId="1B955DFB"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kern w:val="0"/>
                <w:sz w:val="20"/>
                <w:szCs w:val="20"/>
                <w:lang w:eastAsia="pt-BR"/>
                <w14:ligatures w14:val="none"/>
              </w:rPr>
              <w:t>O termo "histeria" é removido por ser considerado impreciso e estigmatizante, substituído por categorias como "Transtorno de Conversão" e "Transtornos de Somatização".</w:t>
            </w:r>
          </w:p>
        </w:tc>
      </w:tr>
      <w:tr w:rsidR="0003312E" w14:paraId="2BC28B96" w14:textId="77777777">
        <w:tc>
          <w:tcPr>
            <w:tcW w:w="0" w:type="auto"/>
            <w:tcMar>
              <w:top w:w="150" w:type="dxa"/>
              <w:left w:w="0" w:type="dxa"/>
              <w:bottom w:w="150" w:type="dxa"/>
              <w:right w:w="240" w:type="dxa"/>
            </w:tcMar>
            <w:vAlign w:val="center"/>
          </w:tcPr>
          <w:p w14:paraId="45DD49D4" w14:textId="77777777" w:rsidR="0003312E" w:rsidRDefault="00000000">
            <w:pPr>
              <w:spacing w:after="0" w:line="240" w:lineRule="auto"/>
              <w:rPr>
                <w:rFonts w:ascii="Times New Roman" w:eastAsia="Times New Roman" w:hAnsi="Times New Roman" w:cs="Times New Roman"/>
                <w:b/>
                <w:bCs/>
                <w:kern w:val="0"/>
                <w:sz w:val="20"/>
                <w:szCs w:val="20"/>
                <w:lang w:eastAsia="pt-BR"/>
                <w14:ligatures w14:val="none"/>
              </w:rPr>
            </w:pPr>
            <w:r>
              <w:rPr>
                <w:rFonts w:ascii="Times New Roman" w:eastAsia="Times New Roman" w:hAnsi="Times New Roman" w:cs="Times New Roman"/>
                <w:b/>
                <w:bCs/>
                <w:kern w:val="0"/>
                <w:sz w:val="20"/>
                <w:szCs w:val="20"/>
                <w:lang w:eastAsia="pt-BR"/>
                <w14:ligatures w14:val="none"/>
              </w:rPr>
              <w:t>Século XXI</w:t>
            </w:r>
          </w:p>
        </w:tc>
        <w:tc>
          <w:tcPr>
            <w:tcW w:w="0" w:type="auto"/>
            <w:tcMar>
              <w:top w:w="150" w:type="dxa"/>
              <w:left w:w="240" w:type="dxa"/>
              <w:bottom w:w="150" w:type="dxa"/>
              <w:right w:w="240" w:type="dxa"/>
            </w:tcMar>
            <w:vAlign w:val="center"/>
          </w:tcPr>
          <w:p w14:paraId="556619BD"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kern w:val="0"/>
                <w:sz w:val="20"/>
                <w:szCs w:val="20"/>
                <w:lang w:eastAsia="pt-BR"/>
                <w14:ligatures w14:val="none"/>
              </w:rPr>
              <w:t>Transtorno de Sintomas Neurológicos Funcionais (TSNF)</w:t>
            </w:r>
          </w:p>
        </w:tc>
        <w:tc>
          <w:tcPr>
            <w:tcW w:w="0" w:type="auto"/>
            <w:tcMar>
              <w:top w:w="150" w:type="dxa"/>
              <w:left w:w="240" w:type="dxa"/>
              <w:bottom w:w="150" w:type="dxa"/>
              <w:right w:w="0" w:type="dxa"/>
            </w:tcMar>
            <w:vAlign w:val="center"/>
          </w:tcPr>
          <w:p w14:paraId="48F64BB0"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kern w:val="0"/>
                <w:sz w:val="20"/>
                <w:szCs w:val="20"/>
                <w:lang w:eastAsia="pt-BR"/>
                <w14:ligatures w14:val="none"/>
              </w:rPr>
              <w:t>Reconhecimento de que os sintomas são reais e causam sofrimento, mas sem lesão estrutural identificável. Representa tentativa de desvinculação do estigma histórico.</w:t>
            </w:r>
          </w:p>
        </w:tc>
      </w:tr>
      <w:tr w:rsidR="0003312E" w14:paraId="3CC423C8" w14:textId="77777777">
        <w:tc>
          <w:tcPr>
            <w:tcW w:w="0" w:type="auto"/>
            <w:tcMar>
              <w:top w:w="150" w:type="dxa"/>
              <w:left w:w="0" w:type="dxa"/>
              <w:bottom w:w="150" w:type="dxa"/>
              <w:right w:w="240" w:type="dxa"/>
            </w:tcMar>
            <w:vAlign w:val="center"/>
          </w:tcPr>
          <w:p w14:paraId="6171BB81" w14:textId="77777777" w:rsidR="0003312E" w:rsidRDefault="00000000">
            <w:pPr>
              <w:spacing w:after="0" w:line="240" w:lineRule="auto"/>
              <w:rPr>
                <w:rFonts w:ascii="Times New Roman" w:eastAsia="Times New Roman" w:hAnsi="Times New Roman" w:cs="Times New Roman"/>
                <w:b/>
                <w:bCs/>
                <w:kern w:val="0"/>
                <w:sz w:val="20"/>
                <w:szCs w:val="20"/>
                <w:lang w:eastAsia="pt-BR"/>
                <w14:ligatures w14:val="none"/>
              </w:rPr>
            </w:pPr>
            <w:r>
              <w:rPr>
                <w:rFonts w:ascii="Times New Roman" w:eastAsia="Times New Roman" w:hAnsi="Times New Roman" w:cs="Times New Roman"/>
                <w:b/>
                <w:bCs/>
                <w:kern w:val="0"/>
                <w:sz w:val="20"/>
                <w:szCs w:val="20"/>
                <w:lang w:eastAsia="pt-BR"/>
                <w14:ligatures w14:val="none"/>
              </w:rPr>
              <w:t>Século XXI</w:t>
            </w:r>
          </w:p>
        </w:tc>
        <w:tc>
          <w:tcPr>
            <w:tcW w:w="0" w:type="auto"/>
            <w:tcMar>
              <w:top w:w="150" w:type="dxa"/>
              <w:left w:w="240" w:type="dxa"/>
              <w:bottom w:w="150" w:type="dxa"/>
              <w:right w:w="240" w:type="dxa"/>
            </w:tcMar>
            <w:vAlign w:val="center"/>
          </w:tcPr>
          <w:p w14:paraId="63331EAD"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kern w:val="0"/>
                <w:sz w:val="20"/>
                <w:szCs w:val="20"/>
                <w:lang w:eastAsia="pt-BR"/>
                <w14:ligatures w14:val="none"/>
              </w:rPr>
              <w:t>Neurociência</w:t>
            </w:r>
          </w:p>
        </w:tc>
        <w:tc>
          <w:tcPr>
            <w:tcW w:w="0" w:type="auto"/>
            <w:tcMar>
              <w:top w:w="150" w:type="dxa"/>
              <w:left w:w="240" w:type="dxa"/>
              <w:bottom w:w="150" w:type="dxa"/>
              <w:right w:w="0" w:type="dxa"/>
            </w:tcMar>
            <w:vAlign w:val="center"/>
          </w:tcPr>
          <w:p w14:paraId="3B2CB262" w14:textId="77777777" w:rsidR="0003312E" w:rsidRDefault="00000000">
            <w:pPr>
              <w:spacing w:after="0" w:line="240" w:lineRule="auto"/>
              <w:rPr>
                <w:rFonts w:ascii="Times New Roman" w:eastAsia="Times New Roman" w:hAnsi="Times New Roman" w:cs="Times New Roman"/>
                <w:kern w:val="0"/>
                <w:sz w:val="20"/>
                <w:szCs w:val="20"/>
                <w:lang w:eastAsia="pt-BR"/>
                <w14:ligatures w14:val="none"/>
              </w:rPr>
            </w:pPr>
            <w:r>
              <w:rPr>
                <w:rFonts w:ascii="Times New Roman" w:eastAsia="Times New Roman" w:hAnsi="Times New Roman" w:cs="Times New Roman"/>
                <w:kern w:val="0"/>
                <w:sz w:val="20"/>
                <w:szCs w:val="20"/>
                <w:lang w:eastAsia="pt-BR"/>
                <w14:ligatures w14:val="none"/>
              </w:rPr>
              <w:t>Estudos de neuroimagem (</w:t>
            </w:r>
            <w:proofErr w:type="spellStart"/>
            <w:r>
              <w:rPr>
                <w:rFonts w:ascii="Times New Roman" w:eastAsia="Times New Roman" w:hAnsi="Times New Roman" w:cs="Times New Roman"/>
                <w:kern w:val="0"/>
                <w:sz w:val="20"/>
                <w:szCs w:val="20"/>
                <w:lang w:eastAsia="pt-BR"/>
                <w14:ligatures w14:val="none"/>
              </w:rPr>
              <w:t>fMRI</w:t>
            </w:r>
            <w:proofErr w:type="spellEnd"/>
            <w:r>
              <w:rPr>
                <w:rFonts w:ascii="Times New Roman" w:eastAsia="Times New Roman" w:hAnsi="Times New Roman" w:cs="Times New Roman"/>
                <w:kern w:val="0"/>
                <w:sz w:val="20"/>
                <w:szCs w:val="20"/>
                <w:lang w:eastAsia="pt-BR"/>
                <w14:ligatures w14:val="none"/>
              </w:rPr>
              <w:t>) identificam correlatos neurais associados aos sintomas funcionais. É importante notar que múltiplos modelos explicativos (psicanalítico, cognitivo-comportamental, neurobiológico) coexistem atualmente para compreender os TSNF.</w:t>
            </w:r>
          </w:p>
        </w:tc>
      </w:tr>
    </w:tbl>
    <w:p w14:paraId="4B9D82C0" w14:textId="77777777" w:rsidR="0003312E" w:rsidRDefault="0003312E">
      <w:pPr>
        <w:shd w:val="clear" w:color="auto" w:fill="FFFFFF"/>
        <w:spacing w:after="0" w:line="360" w:lineRule="auto"/>
        <w:ind w:firstLine="709"/>
        <w:jc w:val="both"/>
        <w:rPr>
          <w:rFonts w:ascii="Times New Roman" w:eastAsia="Times New Roman" w:hAnsi="Times New Roman" w:cs="Times New Roman"/>
          <w:b/>
          <w:bCs/>
          <w:color w:val="0F1115"/>
          <w:kern w:val="0"/>
          <w:sz w:val="24"/>
          <w:szCs w:val="24"/>
          <w:lang w:eastAsia="pt-BR"/>
          <w14:ligatures w14:val="none"/>
        </w:rPr>
      </w:pPr>
    </w:p>
    <w:p w14:paraId="74ADEA72"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b/>
          <w:bCs/>
          <w:color w:val="0F1115"/>
          <w:kern w:val="0"/>
          <w:sz w:val="24"/>
          <w:szCs w:val="24"/>
          <w:lang w:eastAsia="pt-BR"/>
          <w14:ligatures w14:val="none"/>
        </w:rPr>
        <w:t>Em Essência: as Quatro Dimensões da Histeria</w:t>
      </w:r>
    </w:p>
    <w:p w14:paraId="4F080A6E"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b/>
          <w:bCs/>
          <w:color w:val="0F1115"/>
          <w:kern w:val="0"/>
          <w:sz w:val="24"/>
          <w:szCs w:val="24"/>
          <w:lang w:eastAsia="pt-BR"/>
          <w14:ligatures w14:val="none"/>
        </w:rPr>
        <w:t>1. A Dimensão Etimológica: O Útero Errante</w:t>
      </w:r>
    </w:p>
    <w:p w14:paraId="0284F0E9"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A própria palavra "histeria" encapsula um dos equívocos mais persistentes da história da medicina: sua origem no grego </w:t>
      </w:r>
      <w:proofErr w:type="spellStart"/>
      <w:r>
        <w:rPr>
          <w:rFonts w:ascii="Times New Roman" w:eastAsia="Times New Roman" w:hAnsi="Times New Roman" w:cs="Times New Roman"/>
          <w:i/>
          <w:iCs/>
          <w:color w:val="0F1115"/>
          <w:kern w:val="0"/>
          <w:sz w:val="24"/>
          <w:szCs w:val="24"/>
          <w:lang w:eastAsia="pt-BR"/>
          <w14:ligatures w14:val="none"/>
        </w:rPr>
        <w:t>hystéra</w:t>
      </w:r>
      <w:proofErr w:type="spellEnd"/>
      <w:r>
        <w:rPr>
          <w:rFonts w:ascii="Times New Roman" w:eastAsia="Times New Roman" w:hAnsi="Times New Roman" w:cs="Times New Roman"/>
          <w:color w:val="0F1115"/>
          <w:kern w:val="0"/>
          <w:sz w:val="24"/>
          <w:szCs w:val="24"/>
          <w:lang w:eastAsia="pt-BR"/>
          <w14:ligatures w14:val="none"/>
        </w:rPr>
        <w:t> (</w:t>
      </w:r>
      <w:proofErr w:type="spellStart"/>
      <w:r>
        <w:rPr>
          <w:rFonts w:ascii="Times New Roman" w:eastAsia="Times New Roman" w:hAnsi="Times New Roman" w:cs="Times New Roman"/>
          <w:color w:val="0F1115"/>
          <w:kern w:val="0"/>
          <w:sz w:val="24"/>
          <w:szCs w:val="24"/>
          <w:lang w:eastAsia="pt-BR"/>
          <w14:ligatures w14:val="none"/>
        </w:rPr>
        <w:t>ὑστέρ</w:t>
      </w:r>
      <w:proofErr w:type="spellEnd"/>
      <w:r>
        <w:rPr>
          <w:rFonts w:ascii="Times New Roman" w:eastAsia="Times New Roman" w:hAnsi="Times New Roman" w:cs="Times New Roman"/>
          <w:color w:val="0F1115"/>
          <w:kern w:val="0"/>
          <w:sz w:val="24"/>
          <w:szCs w:val="24"/>
          <w:lang w:eastAsia="pt-BR"/>
          <w14:ligatures w14:val="none"/>
        </w:rPr>
        <w:t>α), que significa literalmente "útero". O termo </w:t>
      </w:r>
      <w:proofErr w:type="spellStart"/>
      <w:r>
        <w:rPr>
          <w:rFonts w:ascii="Times New Roman" w:eastAsia="Times New Roman" w:hAnsi="Times New Roman" w:cs="Times New Roman"/>
          <w:i/>
          <w:iCs/>
          <w:color w:val="0F1115"/>
          <w:kern w:val="0"/>
          <w:sz w:val="24"/>
          <w:szCs w:val="24"/>
          <w:lang w:eastAsia="pt-BR"/>
          <w14:ligatures w14:val="none"/>
        </w:rPr>
        <w:t>hystería</w:t>
      </w:r>
      <w:proofErr w:type="spellEnd"/>
      <w:r>
        <w:rPr>
          <w:rFonts w:ascii="Times New Roman" w:eastAsia="Times New Roman" w:hAnsi="Times New Roman" w:cs="Times New Roman"/>
          <w:color w:val="0F1115"/>
          <w:kern w:val="0"/>
          <w:sz w:val="24"/>
          <w:szCs w:val="24"/>
          <w:lang w:eastAsia="pt-BR"/>
          <w14:ligatures w14:val="none"/>
        </w:rPr>
        <w:t> (</w:t>
      </w:r>
      <w:proofErr w:type="spellStart"/>
      <w:r>
        <w:rPr>
          <w:rFonts w:ascii="Times New Roman" w:eastAsia="Times New Roman" w:hAnsi="Times New Roman" w:cs="Times New Roman"/>
          <w:color w:val="0F1115"/>
          <w:kern w:val="0"/>
          <w:sz w:val="24"/>
          <w:szCs w:val="24"/>
          <w:lang w:eastAsia="pt-BR"/>
          <w14:ligatures w14:val="none"/>
        </w:rPr>
        <w:t>ὑστερί</w:t>
      </w:r>
      <w:proofErr w:type="spellEnd"/>
      <w:r>
        <w:rPr>
          <w:rFonts w:ascii="Times New Roman" w:eastAsia="Times New Roman" w:hAnsi="Times New Roman" w:cs="Times New Roman"/>
          <w:color w:val="0F1115"/>
          <w:kern w:val="0"/>
          <w:sz w:val="24"/>
          <w:szCs w:val="24"/>
          <w:lang w:eastAsia="pt-BR"/>
          <w14:ligatures w14:val="none"/>
        </w:rPr>
        <w:t>α) deriva precisamente de </w:t>
      </w:r>
      <w:proofErr w:type="spellStart"/>
      <w:r>
        <w:rPr>
          <w:rFonts w:ascii="Times New Roman" w:eastAsia="Times New Roman" w:hAnsi="Times New Roman" w:cs="Times New Roman"/>
          <w:i/>
          <w:iCs/>
          <w:color w:val="0F1115"/>
          <w:kern w:val="0"/>
          <w:sz w:val="24"/>
          <w:szCs w:val="24"/>
          <w:lang w:eastAsia="pt-BR"/>
          <w14:ligatures w14:val="none"/>
        </w:rPr>
        <w:t>hystéra</w:t>
      </w:r>
      <w:proofErr w:type="spellEnd"/>
      <w:r>
        <w:rPr>
          <w:rFonts w:ascii="Times New Roman" w:eastAsia="Times New Roman" w:hAnsi="Times New Roman" w:cs="Times New Roman"/>
          <w:color w:val="0F1115"/>
          <w:kern w:val="0"/>
          <w:sz w:val="24"/>
          <w:szCs w:val="24"/>
          <w:lang w:eastAsia="pt-BR"/>
          <w14:ligatures w14:val="none"/>
        </w:rPr>
        <w:t> com o acréscimo do sufixo *-</w:t>
      </w:r>
      <w:proofErr w:type="spellStart"/>
      <w:r>
        <w:rPr>
          <w:rFonts w:ascii="Times New Roman" w:eastAsia="Times New Roman" w:hAnsi="Times New Roman" w:cs="Times New Roman"/>
          <w:color w:val="0F1115"/>
          <w:kern w:val="0"/>
          <w:sz w:val="24"/>
          <w:szCs w:val="24"/>
          <w:lang w:eastAsia="pt-BR"/>
          <w14:ligatures w14:val="none"/>
        </w:rPr>
        <w:t>ía</w:t>
      </w:r>
      <w:proofErr w:type="spellEnd"/>
      <w:r>
        <w:rPr>
          <w:rFonts w:ascii="Times New Roman" w:eastAsia="Times New Roman" w:hAnsi="Times New Roman" w:cs="Times New Roman"/>
          <w:color w:val="0F1115"/>
          <w:kern w:val="0"/>
          <w:sz w:val="24"/>
          <w:szCs w:val="24"/>
          <w:lang w:eastAsia="pt-BR"/>
          <w14:ligatures w14:val="none"/>
        </w:rPr>
        <w:t xml:space="preserve">*, que indica "estado" ou "condição" - configurando assim, de forma literal, uma "condição uterina". Esta raiz linguística reflete diretamente a teoria hipocrática do "útero errante", que atribuía uma </w:t>
      </w:r>
      <w:r>
        <w:rPr>
          <w:rFonts w:ascii="Times New Roman" w:eastAsia="Times New Roman" w:hAnsi="Times New Roman" w:cs="Times New Roman"/>
          <w:color w:val="0F1115"/>
          <w:kern w:val="0"/>
          <w:sz w:val="24"/>
          <w:szCs w:val="24"/>
          <w:lang w:eastAsia="pt-BR"/>
          <w14:ligatures w14:val="none"/>
        </w:rPr>
        <w:lastRenderedPageBreak/>
        <w:t>ampla gama de sintomas físicos e emocionais ao suposto deslocamento deste órgão pelo corpo feminino.</w:t>
      </w:r>
    </w:p>
    <w:p w14:paraId="411AD10B"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A etimologia torna-se ainda mais reveladora quando examinamos trabalhos como o de Benjamin F. Butler, que traça explicitamente a linhagem linguística da palavra, observando que "histeria, histerismo, histérico, todos vêm da palavra grega" - uma referência direta ao termo "</w:t>
      </w:r>
      <w:proofErr w:type="spellStart"/>
      <w:r>
        <w:rPr>
          <w:rFonts w:ascii="Times New Roman" w:eastAsia="Times New Roman" w:hAnsi="Times New Roman" w:cs="Times New Roman"/>
          <w:color w:val="0F1115"/>
          <w:kern w:val="0"/>
          <w:sz w:val="24"/>
          <w:szCs w:val="24"/>
          <w:lang w:eastAsia="pt-BR"/>
          <w14:ligatures w14:val="none"/>
        </w:rPr>
        <w:t>hystera</w:t>
      </w:r>
      <w:proofErr w:type="spellEnd"/>
      <w:r>
        <w:rPr>
          <w:rFonts w:ascii="Times New Roman" w:eastAsia="Times New Roman" w:hAnsi="Times New Roman" w:cs="Times New Roman"/>
          <w:color w:val="0F1115"/>
          <w:kern w:val="0"/>
          <w:sz w:val="24"/>
          <w:szCs w:val="24"/>
          <w:lang w:eastAsia="pt-BR"/>
          <w14:ligatures w14:val="none"/>
        </w:rPr>
        <w:t xml:space="preserve">". Mais do que um simples erro anatômico, esta origem representa a profunda viés de </w:t>
      </w:r>
      <w:proofErr w:type="gramStart"/>
      <w:r>
        <w:rPr>
          <w:rFonts w:ascii="Times New Roman" w:eastAsia="Times New Roman" w:hAnsi="Times New Roman" w:cs="Times New Roman"/>
          <w:color w:val="0F1115"/>
          <w:kern w:val="0"/>
          <w:sz w:val="24"/>
          <w:szCs w:val="24"/>
          <w:lang w:eastAsia="pt-BR"/>
          <w14:ligatures w14:val="none"/>
        </w:rPr>
        <w:t>gênero  do</w:t>
      </w:r>
      <w:proofErr w:type="gramEnd"/>
      <w:r>
        <w:rPr>
          <w:rFonts w:ascii="Times New Roman" w:eastAsia="Times New Roman" w:hAnsi="Times New Roman" w:cs="Times New Roman"/>
          <w:color w:val="0F1115"/>
          <w:kern w:val="0"/>
          <w:sz w:val="24"/>
          <w:szCs w:val="24"/>
          <w:lang w:eastAsia="pt-BR"/>
          <w14:ligatures w14:val="none"/>
        </w:rPr>
        <w:t xml:space="preserve"> sofrimento psicológico, estabelecendo por milênios a crença de que certas formas de angústia eram inerentes à condição feminina, enquanto desconsiderava completamente a possibilidade de manifestações similares em corpos masculinos.</w:t>
      </w:r>
    </w:p>
    <w:p w14:paraId="3CD267E5" w14:textId="77777777" w:rsidR="0003312E" w:rsidRDefault="0003312E">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p>
    <w:p w14:paraId="6EE87EF3"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b/>
          <w:bCs/>
          <w:color w:val="0F1115"/>
          <w:kern w:val="0"/>
          <w:sz w:val="24"/>
          <w:szCs w:val="24"/>
          <w:lang w:eastAsia="pt-BR"/>
          <w14:ligatures w14:val="none"/>
        </w:rPr>
        <w:t>2. A Dimensão Histórico-Clínica: Do Exorcismo ao Espetáculo Clínico</w:t>
      </w:r>
    </w:p>
    <w:p w14:paraId="685B2A69"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 xml:space="preserve">A compreensão da histeria percorreu um caminho extraordinário que espelha a própria evolução do pensamento ocidental sobre doença, gênero e psique. Desde suas primeiras aparições na literatura antiga, o fenômeno já revelava sua natureza liminar entre o médico e o cultural. </w:t>
      </w:r>
      <w:proofErr w:type="spellStart"/>
      <w:r>
        <w:rPr>
          <w:rFonts w:ascii="Times New Roman" w:eastAsia="Times New Roman" w:hAnsi="Times New Roman" w:cs="Times New Roman"/>
          <w:color w:val="0F1115"/>
          <w:kern w:val="0"/>
          <w:sz w:val="24"/>
          <w:szCs w:val="24"/>
          <w:lang w:eastAsia="pt-BR"/>
          <w14:ligatures w14:val="none"/>
        </w:rPr>
        <w:t>Apollodorus</w:t>
      </w:r>
      <w:proofErr w:type="spellEnd"/>
      <w:r>
        <w:rPr>
          <w:rFonts w:ascii="Times New Roman" w:eastAsia="Times New Roman" w:hAnsi="Times New Roman" w:cs="Times New Roman"/>
          <w:color w:val="0F1115"/>
          <w:kern w:val="0"/>
          <w:sz w:val="24"/>
          <w:szCs w:val="24"/>
          <w:lang w:eastAsia="pt-BR"/>
          <w14:ligatures w14:val="none"/>
        </w:rPr>
        <w:t>, em sua "Biblioteca", descreve mulheres "tomadas por uma espécie de loucura - presumivelmente alguma forma de histeria" que as fazia correr cantando pela selva, capturando aquela qualidade extática e extravasante que sempre caracterizaria o fenômeno.</w:t>
      </w:r>
    </w:p>
    <w:p w14:paraId="0C76DAFC"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 xml:space="preserve">A medicalização da histeria iniciou-se ainda na antiguidade, com </w:t>
      </w:r>
      <w:proofErr w:type="spellStart"/>
      <w:r>
        <w:rPr>
          <w:rFonts w:ascii="Times New Roman" w:eastAsia="Times New Roman" w:hAnsi="Times New Roman" w:cs="Times New Roman"/>
          <w:color w:val="0F1115"/>
          <w:kern w:val="0"/>
          <w:sz w:val="24"/>
          <w:szCs w:val="24"/>
          <w:lang w:eastAsia="pt-BR"/>
          <w14:ligatures w14:val="none"/>
        </w:rPr>
        <w:t>Strabo</w:t>
      </w:r>
      <w:proofErr w:type="spellEnd"/>
      <w:r>
        <w:rPr>
          <w:rFonts w:ascii="Times New Roman" w:eastAsia="Times New Roman" w:hAnsi="Times New Roman" w:cs="Times New Roman"/>
          <w:color w:val="0F1115"/>
          <w:kern w:val="0"/>
          <w:sz w:val="24"/>
          <w:szCs w:val="24"/>
          <w:lang w:eastAsia="pt-BR"/>
          <w14:ligatures w14:val="none"/>
        </w:rPr>
        <w:t xml:space="preserve"> mencionando em sua "Geografia" o uso de "substâncias antiespasmódicas para doenças espasmódicas, como histeria e epilepsia", enquanto Plínio, o Velho, na "História Natural", já se referia ao que "entre nós são conhecidas como histeria, ou afecções histéricas". Estes registros demonstram que, muito antes da psicanálise, a histeria já possuía um estatuto nosológico reconhecível.</w:t>
      </w:r>
    </w:p>
    <w:p w14:paraId="46BBAB0C"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A Idade Média operou uma transformação crucial na compreensão do fenômeno: da esfera médica, a histeria migrou para o domínio religioso, sendo reinterpretada como possessão demoníaca. Neste processo, o corpo da mulher histérica transformou-se em campo de batalha espiritual, onde se travava o conflito entre o sagrado e o profano, exigindo exorcismos e rituais de purificação em vez de tratamentos médicos.</w:t>
      </w:r>
    </w:p>
    <w:p w14:paraId="289DB95D"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 xml:space="preserve">O século XIX testemunhou a reapropriação médica da histeria por Jean-Martin </w:t>
      </w:r>
      <w:proofErr w:type="spellStart"/>
      <w:r>
        <w:rPr>
          <w:rFonts w:ascii="Times New Roman" w:eastAsia="Times New Roman" w:hAnsi="Times New Roman" w:cs="Times New Roman"/>
          <w:color w:val="0F1115"/>
          <w:kern w:val="0"/>
          <w:sz w:val="24"/>
          <w:szCs w:val="24"/>
          <w:lang w:eastAsia="pt-BR"/>
          <w14:ligatures w14:val="none"/>
        </w:rPr>
        <w:t>Charcot</w:t>
      </w:r>
      <w:proofErr w:type="spellEnd"/>
      <w:r>
        <w:rPr>
          <w:rFonts w:ascii="Times New Roman" w:eastAsia="Times New Roman" w:hAnsi="Times New Roman" w:cs="Times New Roman"/>
          <w:color w:val="0F1115"/>
          <w:kern w:val="0"/>
          <w:sz w:val="24"/>
          <w:szCs w:val="24"/>
          <w:lang w:eastAsia="pt-BR"/>
          <w14:ligatures w14:val="none"/>
        </w:rPr>
        <w:t xml:space="preserve"> na </w:t>
      </w:r>
      <w:proofErr w:type="spellStart"/>
      <w:r>
        <w:rPr>
          <w:rFonts w:ascii="Times New Roman" w:eastAsia="Times New Roman" w:hAnsi="Times New Roman" w:cs="Times New Roman"/>
          <w:color w:val="0F1115"/>
          <w:kern w:val="0"/>
          <w:sz w:val="24"/>
          <w:szCs w:val="24"/>
          <w:lang w:eastAsia="pt-BR"/>
          <w14:ligatures w14:val="none"/>
        </w:rPr>
        <w:t>Salpêtrière</w:t>
      </w:r>
      <w:proofErr w:type="spellEnd"/>
      <w:r>
        <w:rPr>
          <w:rFonts w:ascii="Times New Roman" w:eastAsia="Times New Roman" w:hAnsi="Times New Roman" w:cs="Times New Roman"/>
          <w:color w:val="0F1115"/>
          <w:kern w:val="0"/>
          <w:sz w:val="24"/>
          <w:szCs w:val="24"/>
          <w:lang w:eastAsia="pt-BR"/>
          <w14:ligatures w14:val="none"/>
        </w:rPr>
        <w:t xml:space="preserve">. </w:t>
      </w:r>
      <w:proofErr w:type="spellStart"/>
      <w:r>
        <w:rPr>
          <w:rFonts w:ascii="Times New Roman" w:eastAsia="Times New Roman" w:hAnsi="Times New Roman" w:cs="Times New Roman"/>
          <w:color w:val="0F1115"/>
          <w:kern w:val="0"/>
          <w:sz w:val="24"/>
          <w:szCs w:val="24"/>
          <w:lang w:eastAsia="pt-BR"/>
          <w14:ligatures w14:val="none"/>
        </w:rPr>
        <w:t>Charcot</w:t>
      </w:r>
      <w:proofErr w:type="spellEnd"/>
      <w:r>
        <w:rPr>
          <w:rFonts w:ascii="Times New Roman" w:eastAsia="Times New Roman" w:hAnsi="Times New Roman" w:cs="Times New Roman"/>
          <w:color w:val="0F1115"/>
          <w:kern w:val="0"/>
          <w:sz w:val="24"/>
          <w:szCs w:val="24"/>
          <w:lang w:eastAsia="pt-BR"/>
          <w14:ligatures w14:val="none"/>
        </w:rPr>
        <w:t xml:space="preserve"> representa o paradoxo máximo desta história: ao mesmo tempo que dessacralizou a histeria ao tratá-la como doença nervosa legítima, embora ainda a buscando em uma lesão estrutural não identificada, transformou-a em espetáculo clínico através de suas famosas "Lições de Terça-feira". Seu teatro médico, onde pacientes como Blanche </w:t>
      </w:r>
      <w:proofErr w:type="spellStart"/>
      <w:r>
        <w:rPr>
          <w:rFonts w:ascii="Times New Roman" w:eastAsia="Times New Roman" w:hAnsi="Times New Roman" w:cs="Times New Roman"/>
          <w:color w:val="0F1115"/>
          <w:kern w:val="0"/>
          <w:sz w:val="24"/>
          <w:szCs w:val="24"/>
          <w:lang w:eastAsia="pt-BR"/>
          <w14:ligatures w14:val="none"/>
        </w:rPr>
        <w:t>Wittmann</w:t>
      </w:r>
      <w:proofErr w:type="spellEnd"/>
      <w:r>
        <w:rPr>
          <w:rFonts w:ascii="Times New Roman" w:eastAsia="Times New Roman" w:hAnsi="Times New Roman" w:cs="Times New Roman"/>
          <w:color w:val="0F1115"/>
          <w:kern w:val="0"/>
          <w:sz w:val="24"/>
          <w:szCs w:val="24"/>
          <w:lang w:eastAsia="pt-BR"/>
          <w14:ligatures w14:val="none"/>
        </w:rPr>
        <w:t xml:space="preserve"> performavam sintomas sob hipnose, em um ambiente que podia moldar e sugestionar as </w:t>
      </w:r>
      <w:r>
        <w:rPr>
          <w:rFonts w:ascii="Times New Roman" w:eastAsia="Times New Roman" w:hAnsi="Times New Roman" w:cs="Times New Roman"/>
          <w:color w:val="0F1115"/>
          <w:kern w:val="0"/>
          <w:sz w:val="24"/>
          <w:szCs w:val="24"/>
          <w:lang w:eastAsia="pt-BR"/>
          <w14:ligatures w14:val="none"/>
        </w:rPr>
        <w:lastRenderedPageBreak/>
        <w:t>manifestações da doença, criou uma iconografia da histeria que a tornou simultaneamente objeto científico e espetáculo visual.</w:t>
      </w:r>
    </w:p>
    <w:p w14:paraId="45DCDBA2"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 xml:space="preserve">A dimensão cultural da histeria sempre transcendeu o puramente médico. Ateneu, em "Os </w:t>
      </w:r>
      <w:proofErr w:type="spellStart"/>
      <w:r>
        <w:rPr>
          <w:rFonts w:ascii="Times New Roman" w:eastAsia="Times New Roman" w:hAnsi="Times New Roman" w:cs="Times New Roman"/>
          <w:color w:val="0F1115"/>
          <w:kern w:val="0"/>
          <w:sz w:val="24"/>
          <w:szCs w:val="24"/>
          <w:lang w:eastAsia="pt-BR"/>
          <w14:ligatures w14:val="none"/>
        </w:rPr>
        <w:t>Deipnosofistas</w:t>
      </w:r>
      <w:proofErr w:type="spellEnd"/>
      <w:r>
        <w:rPr>
          <w:rFonts w:ascii="Times New Roman" w:eastAsia="Times New Roman" w:hAnsi="Times New Roman" w:cs="Times New Roman"/>
          <w:color w:val="0F1115"/>
          <w:kern w:val="0"/>
          <w:sz w:val="24"/>
          <w:szCs w:val="24"/>
          <w:lang w:eastAsia="pt-BR"/>
          <w14:ligatures w14:val="none"/>
        </w:rPr>
        <w:t>", menciona um festival denominado "</w:t>
      </w:r>
      <w:proofErr w:type="spellStart"/>
      <w:r>
        <w:rPr>
          <w:rFonts w:ascii="Times New Roman" w:eastAsia="Times New Roman" w:hAnsi="Times New Roman" w:cs="Times New Roman"/>
          <w:color w:val="0F1115"/>
          <w:kern w:val="0"/>
          <w:sz w:val="24"/>
          <w:szCs w:val="24"/>
          <w:lang w:eastAsia="pt-BR"/>
          <w14:ligatures w14:val="none"/>
        </w:rPr>
        <w:t>Hysteria</w:t>
      </w:r>
      <w:proofErr w:type="spellEnd"/>
      <w:r>
        <w:rPr>
          <w:rFonts w:ascii="Times New Roman" w:eastAsia="Times New Roman" w:hAnsi="Times New Roman" w:cs="Times New Roman"/>
          <w:color w:val="0F1115"/>
          <w:kern w:val="0"/>
          <w:sz w:val="24"/>
          <w:szCs w:val="24"/>
          <w:lang w:eastAsia="pt-BR"/>
          <w14:ligatures w14:val="none"/>
        </w:rPr>
        <w:t xml:space="preserve">", sugerindo manifestações ritualísticas do fenômeno. Já na era moderna, a penetração do conceito no imaginário cultural é atestada por C.T. </w:t>
      </w:r>
      <w:proofErr w:type="spellStart"/>
      <w:r>
        <w:rPr>
          <w:rFonts w:ascii="Times New Roman" w:eastAsia="Times New Roman" w:hAnsi="Times New Roman" w:cs="Times New Roman"/>
          <w:color w:val="0F1115"/>
          <w:kern w:val="0"/>
          <w:sz w:val="24"/>
          <w:szCs w:val="24"/>
          <w:lang w:eastAsia="pt-BR"/>
          <w14:ligatures w14:val="none"/>
        </w:rPr>
        <w:t>Onions</w:t>
      </w:r>
      <w:proofErr w:type="spellEnd"/>
      <w:r>
        <w:rPr>
          <w:rFonts w:ascii="Times New Roman" w:eastAsia="Times New Roman" w:hAnsi="Times New Roman" w:cs="Times New Roman"/>
          <w:color w:val="0F1115"/>
          <w:kern w:val="0"/>
          <w:sz w:val="24"/>
          <w:szCs w:val="24"/>
          <w:lang w:eastAsia="pt-BR"/>
          <w14:ligatures w14:val="none"/>
        </w:rPr>
        <w:t xml:space="preserve">, que identifica o uso do termo nas obras de Shakespeare, enquanto a "Cambridge </w:t>
      </w:r>
      <w:proofErr w:type="spellStart"/>
      <w:r>
        <w:rPr>
          <w:rFonts w:ascii="Times New Roman" w:eastAsia="Times New Roman" w:hAnsi="Times New Roman" w:cs="Times New Roman"/>
          <w:color w:val="0F1115"/>
          <w:kern w:val="0"/>
          <w:sz w:val="24"/>
          <w:szCs w:val="24"/>
          <w:lang w:eastAsia="pt-BR"/>
          <w14:ligatures w14:val="none"/>
        </w:rPr>
        <w:t>History</w:t>
      </w:r>
      <w:proofErr w:type="spellEnd"/>
      <w:r>
        <w:rPr>
          <w:rFonts w:ascii="Times New Roman" w:eastAsia="Times New Roman" w:hAnsi="Times New Roman" w:cs="Times New Roman"/>
          <w:color w:val="0F1115"/>
          <w:kern w:val="0"/>
          <w:sz w:val="24"/>
          <w:szCs w:val="24"/>
          <w:lang w:eastAsia="pt-BR"/>
          <w14:ligatures w14:val="none"/>
        </w:rPr>
        <w:t xml:space="preserve"> </w:t>
      </w:r>
      <w:proofErr w:type="spellStart"/>
      <w:r>
        <w:rPr>
          <w:rFonts w:ascii="Times New Roman" w:eastAsia="Times New Roman" w:hAnsi="Times New Roman" w:cs="Times New Roman"/>
          <w:color w:val="0F1115"/>
          <w:kern w:val="0"/>
          <w:sz w:val="24"/>
          <w:szCs w:val="24"/>
          <w:lang w:eastAsia="pt-BR"/>
          <w14:ligatures w14:val="none"/>
        </w:rPr>
        <w:t>of</w:t>
      </w:r>
      <w:proofErr w:type="spellEnd"/>
      <w:r>
        <w:rPr>
          <w:rFonts w:ascii="Times New Roman" w:eastAsia="Times New Roman" w:hAnsi="Times New Roman" w:cs="Times New Roman"/>
          <w:color w:val="0F1115"/>
          <w:kern w:val="0"/>
          <w:sz w:val="24"/>
          <w:szCs w:val="24"/>
          <w:lang w:eastAsia="pt-BR"/>
          <w14:ligatures w14:val="none"/>
        </w:rPr>
        <w:t xml:space="preserve"> American </w:t>
      </w:r>
      <w:proofErr w:type="spellStart"/>
      <w:r>
        <w:rPr>
          <w:rFonts w:ascii="Times New Roman" w:eastAsia="Times New Roman" w:hAnsi="Times New Roman" w:cs="Times New Roman"/>
          <w:color w:val="0F1115"/>
          <w:kern w:val="0"/>
          <w:sz w:val="24"/>
          <w:szCs w:val="24"/>
          <w:lang w:eastAsia="pt-BR"/>
          <w14:ligatures w14:val="none"/>
        </w:rPr>
        <w:t>Literature</w:t>
      </w:r>
      <w:proofErr w:type="spellEnd"/>
      <w:r>
        <w:rPr>
          <w:rFonts w:ascii="Times New Roman" w:eastAsia="Times New Roman" w:hAnsi="Times New Roman" w:cs="Times New Roman"/>
          <w:color w:val="0F1115"/>
          <w:kern w:val="0"/>
          <w:sz w:val="24"/>
          <w:szCs w:val="24"/>
          <w:lang w:eastAsia="pt-BR"/>
          <w14:ligatures w14:val="none"/>
        </w:rPr>
        <w:t>" analisa como "elementos de histeria se misturavam com o fervor moral" na literatura colonial.</w:t>
      </w:r>
    </w:p>
    <w:p w14:paraId="44E2AE31"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 xml:space="preserve">O século XIX também viu a emergência de vozes femininas no estudo da histeria, com a </w:t>
      </w:r>
      <w:proofErr w:type="spellStart"/>
      <w:r>
        <w:rPr>
          <w:rFonts w:ascii="Times New Roman" w:eastAsia="Times New Roman" w:hAnsi="Times New Roman" w:cs="Times New Roman"/>
          <w:color w:val="0F1115"/>
          <w:kern w:val="0"/>
          <w:sz w:val="24"/>
          <w:szCs w:val="24"/>
          <w:lang w:eastAsia="pt-BR"/>
          <w14:ligatures w14:val="none"/>
        </w:rPr>
        <w:t>Harper's</w:t>
      </w:r>
      <w:proofErr w:type="spellEnd"/>
      <w:r>
        <w:rPr>
          <w:rFonts w:ascii="Times New Roman" w:eastAsia="Times New Roman" w:hAnsi="Times New Roman" w:cs="Times New Roman"/>
          <w:color w:val="0F1115"/>
          <w:kern w:val="0"/>
          <w:sz w:val="24"/>
          <w:szCs w:val="24"/>
          <w:lang w:eastAsia="pt-BR"/>
          <w14:ligatures w14:val="none"/>
        </w:rPr>
        <w:t xml:space="preserve"> </w:t>
      </w:r>
      <w:proofErr w:type="spellStart"/>
      <w:r>
        <w:rPr>
          <w:rFonts w:ascii="Times New Roman" w:eastAsia="Times New Roman" w:hAnsi="Times New Roman" w:cs="Times New Roman"/>
          <w:color w:val="0F1115"/>
          <w:kern w:val="0"/>
          <w:sz w:val="24"/>
          <w:szCs w:val="24"/>
          <w:lang w:eastAsia="pt-BR"/>
          <w14:ligatures w14:val="none"/>
        </w:rPr>
        <w:t>Encyclopedia</w:t>
      </w:r>
      <w:proofErr w:type="spellEnd"/>
      <w:r>
        <w:rPr>
          <w:rFonts w:ascii="Times New Roman" w:eastAsia="Times New Roman" w:hAnsi="Times New Roman" w:cs="Times New Roman"/>
          <w:color w:val="0F1115"/>
          <w:kern w:val="0"/>
          <w:sz w:val="24"/>
          <w:szCs w:val="24"/>
          <w:lang w:eastAsia="pt-BR"/>
          <w14:ligatures w14:val="none"/>
        </w:rPr>
        <w:t xml:space="preserve"> </w:t>
      </w:r>
      <w:proofErr w:type="spellStart"/>
      <w:r>
        <w:rPr>
          <w:rFonts w:ascii="Times New Roman" w:eastAsia="Times New Roman" w:hAnsi="Times New Roman" w:cs="Times New Roman"/>
          <w:color w:val="0F1115"/>
          <w:kern w:val="0"/>
          <w:sz w:val="24"/>
          <w:szCs w:val="24"/>
          <w:lang w:eastAsia="pt-BR"/>
          <w14:ligatures w14:val="none"/>
        </w:rPr>
        <w:t>of</w:t>
      </w:r>
      <w:proofErr w:type="spellEnd"/>
      <w:r>
        <w:rPr>
          <w:rFonts w:ascii="Times New Roman" w:eastAsia="Times New Roman" w:hAnsi="Times New Roman" w:cs="Times New Roman"/>
          <w:color w:val="0F1115"/>
          <w:kern w:val="0"/>
          <w:sz w:val="24"/>
          <w:szCs w:val="24"/>
          <w:lang w:eastAsia="pt-BR"/>
          <w14:ligatures w14:val="none"/>
        </w:rPr>
        <w:t xml:space="preserve"> United States </w:t>
      </w:r>
      <w:proofErr w:type="spellStart"/>
      <w:r>
        <w:rPr>
          <w:rFonts w:ascii="Times New Roman" w:eastAsia="Times New Roman" w:hAnsi="Times New Roman" w:cs="Times New Roman"/>
          <w:color w:val="0F1115"/>
          <w:kern w:val="0"/>
          <w:sz w:val="24"/>
          <w:szCs w:val="24"/>
          <w:lang w:eastAsia="pt-BR"/>
          <w14:ligatures w14:val="none"/>
        </w:rPr>
        <w:t>History</w:t>
      </w:r>
      <w:proofErr w:type="spellEnd"/>
      <w:r>
        <w:rPr>
          <w:rFonts w:ascii="Times New Roman" w:eastAsia="Times New Roman" w:hAnsi="Times New Roman" w:cs="Times New Roman"/>
          <w:color w:val="0F1115"/>
          <w:kern w:val="0"/>
          <w:sz w:val="24"/>
          <w:szCs w:val="24"/>
          <w:lang w:eastAsia="pt-BR"/>
          <w14:ligatures w14:val="none"/>
        </w:rPr>
        <w:t xml:space="preserve"> registrando as contribuições de Mary Putnam Jacobi. Paralelamente, práticas terapêuticas diversificadas floresciam, como atestam os "Southern </w:t>
      </w:r>
      <w:proofErr w:type="spellStart"/>
      <w:r>
        <w:rPr>
          <w:rFonts w:ascii="Times New Roman" w:eastAsia="Times New Roman" w:hAnsi="Times New Roman" w:cs="Times New Roman"/>
          <w:color w:val="0F1115"/>
          <w:kern w:val="0"/>
          <w:sz w:val="24"/>
          <w:szCs w:val="24"/>
          <w:lang w:eastAsia="pt-BR"/>
          <w14:ligatures w14:val="none"/>
        </w:rPr>
        <w:t>Historical</w:t>
      </w:r>
      <w:proofErr w:type="spellEnd"/>
      <w:r>
        <w:rPr>
          <w:rFonts w:ascii="Times New Roman" w:eastAsia="Times New Roman" w:hAnsi="Times New Roman" w:cs="Times New Roman"/>
          <w:color w:val="0F1115"/>
          <w:kern w:val="0"/>
          <w:sz w:val="24"/>
          <w:szCs w:val="24"/>
          <w:lang w:eastAsia="pt-BR"/>
          <w14:ligatures w14:val="none"/>
        </w:rPr>
        <w:t xml:space="preserve"> Society Papers" que mencionam tratamentos para "histeria crônica" usando carvalho preto.</w:t>
      </w:r>
    </w:p>
    <w:p w14:paraId="47416D8F"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 xml:space="preserve">A virada decisiva, contudo, viria com Sigmund Freud, que levou da </w:t>
      </w:r>
      <w:proofErr w:type="spellStart"/>
      <w:r>
        <w:rPr>
          <w:rFonts w:ascii="Times New Roman" w:eastAsia="Times New Roman" w:hAnsi="Times New Roman" w:cs="Times New Roman"/>
          <w:color w:val="0F1115"/>
          <w:kern w:val="0"/>
          <w:sz w:val="24"/>
          <w:szCs w:val="24"/>
          <w:lang w:eastAsia="pt-BR"/>
          <w14:ligatures w14:val="none"/>
        </w:rPr>
        <w:t>Salpêtrière</w:t>
      </w:r>
      <w:proofErr w:type="spellEnd"/>
      <w:r>
        <w:rPr>
          <w:rFonts w:ascii="Times New Roman" w:eastAsia="Times New Roman" w:hAnsi="Times New Roman" w:cs="Times New Roman"/>
          <w:color w:val="0F1115"/>
          <w:kern w:val="0"/>
          <w:sz w:val="24"/>
          <w:szCs w:val="24"/>
          <w:lang w:eastAsia="pt-BR"/>
          <w14:ligatures w14:val="none"/>
        </w:rPr>
        <w:t xml:space="preserve"> de </w:t>
      </w:r>
      <w:proofErr w:type="spellStart"/>
      <w:r>
        <w:rPr>
          <w:rFonts w:ascii="Times New Roman" w:eastAsia="Times New Roman" w:hAnsi="Times New Roman" w:cs="Times New Roman"/>
          <w:color w:val="0F1115"/>
          <w:kern w:val="0"/>
          <w:sz w:val="24"/>
          <w:szCs w:val="24"/>
          <w:lang w:eastAsia="pt-BR"/>
          <w14:ligatures w14:val="none"/>
        </w:rPr>
        <w:t>Charcot</w:t>
      </w:r>
      <w:proofErr w:type="spellEnd"/>
      <w:r>
        <w:rPr>
          <w:rFonts w:ascii="Times New Roman" w:eastAsia="Times New Roman" w:hAnsi="Times New Roman" w:cs="Times New Roman"/>
          <w:color w:val="0F1115"/>
          <w:kern w:val="0"/>
          <w:sz w:val="24"/>
          <w:szCs w:val="24"/>
          <w:lang w:eastAsia="pt-BR"/>
          <w14:ligatures w14:val="none"/>
        </w:rPr>
        <w:t xml:space="preserve"> uma pergunta crucial: se a histeria não era do útero, nem uma lesão anatômica visível, o que a movia? Foi Freud quem, partindo da concepção de </w:t>
      </w:r>
      <w:proofErr w:type="spellStart"/>
      <w:r>
        <w:rPr>
          <w:rFonts w:ascii="Times New Roman" w:eastAsia="Times New Roman" w:hAnsi="Times New Roman" w:cs="Times New Roman"/>
          <w:color w:val="0F1115"/>
          <w:kern w:val="0"/>
          <w:sz w:val="24"/>
          <w:szCs w:val="24"/>
          <w:lang w:eastAsia="pt-BR"/>
          <w14:ligatures w14:val="none"/>
        </w:rPr>
        <w:t>Charcot</w:t>
      </w:r>
      <w:proofErr w:type="spellEnd"/>
      <w:r>
        <w:rPr>
          <w:rFonts w:ascii="Times New Roman" w:eastAsia="Times New Roman" w:hAnsi="Times New Roman" w:cs="Times New Roman"/>
          <w:color w:val="0F1115"/>
          <w:kern w:val="0"/>
          <w:sz w:val="24"/>
          <w:szCs w:val="24"/>
          <w:lang w:eastAsia="pt-BR"/>
          <w14:ligatures w14:val="none"/>
        </w:rPr>
        <w:t xml:space="preserve"> da histeria como doença do sistema nervoso, deu o passo radical em direção à psique. Sob sua lente, os sintomas corporais deixaram de ser sinais de uma disfunção neurológica misteriosa para se tornarem uma "linguagem do inconsciente" - conversões simbólicas de traumas e conflitos psíquicos que o corpo, à sua maneira, articulava. Nessa transição fundamental da neurologia para a psicanálise, a paciente histérica, finalmente, tinha sua voz simbolicamente reconhecida: seu corpo já não era um sistema com defeito, mas um texto a ser decifrado.</w:t>
      </w:r>
    </w:p>
    <w:p w14:paraId="3414E609"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No século XXI, a psiquiatria e a neurologia buscaram uma descrição mais neutra e mecanicista, encapsulada na categoria Transtorno de Sintomas Neurológicos Funcionais (TSNF). O termo reconhece a realidade e o sofrimento genuínos dos sintomas, ainda que na ausência de uma lesão estrutural identificável, representando um esforço consciente para se desvincular do pesado estigma histórico associado à "histeria".</w:t>
      </w:r>
    </w:p>
    <w:p w14:paraId="20C9AE01"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 xml:space="preserve">Apesar desse intento, a sombra do passado permanece longa e teima em assombrar o presente. O desafio clínico contemporâneo vai além da reclassificação nosológica; trata-se de dissociar essas condições de um estigma que, por séculos, </w:t>
      </w:r>
      <w:proofErr w:type="spellStart"/>
      <w:r>
        <w:rPr>
          <w:rFonts w:ascii="Times New Roman" w:eastAsia="Times New Roman" w:hAnsi="Times New Roman" w:cs="Times New Roman"/>
          <w:color w:val="0F1115"/>
          <w:kern w:val="0"/>
          <w:sz w:val="24"/>
          <w:szCs w:val="24"/>
          <w:lang w:eastAsia="pt-BR"/>
          <w14:ligatures w14:val="none"/>
        </w:rPr>
        <w:t>patologizou</w:t>
      </w:r>
      <w:proofErr w:type="spellEnd"/>
      <w:r>
        <w:rPr>
          <w:rFonts w:ascii="Times New Roman" w:eastAsia="Times New Roman" w:hAnsi="Times New Roman" w:cs="Times New Roman"/>
          <w:color w:val="0F1115"/>
          <w:kern w:val="0"/>
          <w:sz w:val="24"/>
          <w:szCs w:val="24"/>
          <w:lang w:eastAsia="pt-BR"/>
          <w14:ligatures w14:val="none"/>
        </w:rPr>
        <w:t xml:space="preserve"> e invalidou sobretudo a experiência feminina. Na prática clínica atual, esse legado perverso ainda se manifesta quando pacientes — majoritariamente mulheres, mas também homens agora marcados pelo estigma de uma "doença feminina" — veem seus sintomas físicos e incapacitantes serem recebidos com descrença ou minimizados como "apenas psicológicos". É um eco moderno da mesma suspeita </w:t>
      </w:r>
      <w:r>
        <w:rPr>
          <w:rFonts w:ascii="Times New Roman" w:eastAsia="Times New Roman" w:hAnsi="Times New Roman" w:cs="Times New Roman"/>
          <w:color w:val="0F1115"/>
          <w:kern w:val="0"/>
          <w:sz w:val="24"/>
          <w:szCs w:val="24"/>
          <w:lang w:eastAsia="pt-BR"/>
          <w14:ligatures w14:val="none"/>
        </w:rPr>
        <w:lastRenderedPageBreak/>
        <w:t xml:space="preserve">que pairou sobre as histéricas de outrora. O próprio termo "funcional", embora tecnicamente preciso, pode ser vivido pelo paciente não como um diagnóstico, mas como uma sutil invalidação de seu sofrimento. A </w:t>
      </w:r>
      <w:proofErr w:type="spellStart"/>
      <w:r>
        <w:rPr>
          <w:rFonts w:ascii="Times New Roman" w:eastAsia="Times New Roman" w:hAnsi="Times New Roman" w:cs="Times New Roman"/>
          <w:color w:val="0F1115"/>
          <w:kern w:val="0"/>
          <w:sz w:val="24"/>
          <w:szCs w:val="24"/>
          <w:lang w:eastAsia="pt-BR"/>
          <w14:ligatures w14:val="none"/>
        </w:rPr>
        <w:t>neuroetimologia</w:t>
      </w:r>
      <w:proofErr w:type="spellEnd"/>
      <w:r>
        <w:rPr>
          <w:rFonts w:ascii="Times New Roman" w:eastAsia="Times New Roman" w:hAnsi="Times New Roman" w:cs="Times New Roman"/>
          <w:color w:val="0F1115"/>
          <w:kern w:val="0"/>
          <w:sz w:val="24"/>
          <w:szCs w:val="24"/>
          <w:lang w:eastAsia="pt-BR"/>
          <w14:ligatures w14:val="none"/>
        </w:rPr>
        <w:t xml:space="preserve"> surge, assim, como um alerta crucial: ao empregar a categoria TSNF, o clínico não está apenas nomeando uma disfunção neurofisiológica, mas também manejando um conceito impregnado por séculos de descrédito. Superar a histeria, portanto, transcende em muito o abandono de um termo anacrônico; exige um combate ativo aos vieses inconscientes que ele ajudou a cristalizar na cultura médica.</w:t>
      </w:r>
    </w:p>
    <w:p w14:paraId="742521D2"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 xml:space="preserve">No fim, a trajetória da histeria revela-se como um espelho das ansiedades de cada época: da mulher como vaso de possessões espirituais na Idade Média ao objeto de estudo </w:t>
      </w:r>
      <w:proofErr w:type="spellStart"/>
      <w:r>
        <w:rPr>
          <w:rFonts w:ascii="Times New Roman" w:eastAsia="Times New Roman" w:hAnsi="Times New Roman" w:cs="Times New Roman"/>
          <w:color w:val="0F1115"/>
          <w:kern w:val="0"/>
          <w:sz w:val="24"/>
          <w:szCs w:val="24"/>
          <w:lang w:eastAsia="pt-BR"/>
          <w14:ligatures w14:val="none"/>
        </w:rPr>
        <w:t>medicalizado</w:t>
      </w:r>
      <w:proofErr w:type="spellEnd"/>
      <w:r>
        <w:rPr>
          <w:rFonts w:ascii="Times New Roman" w:eastAsia="Times New Roman" w:hAnsi="Times New Roman" w:cs="Times New Roman"/>
          <w:color w:val="0F1115"/>
          <w:kern w:val="0"/>
          <w:sz w:val="24"/>
          <w:szCs w:val="24"/>
          <w:lang w:eastAsia="pt-BR"/>
          <w14:ligatures w14:val="none"/>
        </w:rPr>
        <w:t xml:space="preserve"> no século XIX; do corpo feminino como território misterioso ao sujeito psíquico, portador de desejos e conflitos inconscientes. Cada reconstrução do conceito ilumina não apenas os avanços da medicina, mas, sobretudo, as transformações nas compreensões sobre gênero, poder e subjetividade no ocidente.</w:t>
      </w:r>
    </w:p>
    <w:p w14:paraId="4F8F5DBD" w14:textId="77777777" w:rsidR="0003312E" w:rsidRDefault="0003312E">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p>
    <w:p w14:paraId="4A0BFD97"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b/>
          <w:bCs/>
          <w:color w:val="0F1115"/>
          <w:kern w:val="0"/>
          <w:sz w:val="24"/>
          <w:szCs w:val="24"/>
          <w:lang w:eastAsia="pt-BR"/>
          <w14:ligatures w14:val="none"/>
        </w:rPr>
        <w:t>3. A Dimensão Neurocientífica: A Linguagem Neural do Inconsciente</w:t>
      </w:r>
    </w:p>
    <w:p w14:paraId="490C7334"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A neurociência contemporânea abandonou o termo "histeria" em favor de conceitos mais precisos como "Transtorno de Sintomas Neurológicos Funcionais", mas continua estudando os mesmos fenômenos. Pesquisas com neuroimagem mostram que estes sintomas têm correlatos cerebrais reais, envolvendo alterações na conectividade entre redes emocionais e motoras. Isto significa que, embora não haja lesão estrutural detectável, o cérebro realmente produz esses sintomas de uma maneira peculiar - o corpo não está "fingindo", mas sim expressando através de uma linguagem neural distinta aquilo que a mente consciente não consegue processar.</w:t>
      </w:r>
    </w:p>
    <w:p w14:paraId="7DAC7A90" w14:textId="77777777" w:rsidR="0003312E" w:rsidRDefault="0003312E">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p>
    <w:p w14:paraId="5CE6DCFF" w14:textId="77777777" w:rsidR="0003312E" w:rsidRDefault="00000000">
      <w:pPr>
        <w:shd w:val="clear" w:color="auto" w:fill="FFFFFF"/>
        <w:spacing w:after="0" w:line="360" w:lineRule="auto"/>
        <w:ind w:firstLine="709"/>
        <w:jc w:val="both"/>
        <w:rPr>
          <w:rFonts w:ascii="Times New Roman" w:eastAsia="Times New Roman" w:hAnsi="Times New Roman" w:cs="Times New Roman"/>
          <w:b/>
          <w:bCs/>
          <w:color w:val="0F1115"/>
          <w:kern w:val="0"/>
          <w:sz w:val="24"/>
          <w:szCs w:val="24"/>
          <w:lang w:eastAsia="pt-BR"/>
          <w14:ligatures w14:val="none"/>
        </w:rPr>
      </w:pPr>
      <w:r>
        <w:rPr>
          <w:rFonts w:ascii="Times New Roman" w:eastAsia="Times New Roman" w:hAnsi="Times New Roman" w:cs="Times New Roman"/>
          <w:b/>
          <w:bCs/>
          <w:color w:val="0F1115"/>
          <w:kern w:val="0"/>
          <w:sz w:val="24"/>
          <w:szCs w:val="24"/>
          <w:lang w:eastAsia="pt-BR"/>
          <w14:ligatures w14:val="none"/>
        </w:rPr>
        <w:t>4. A Dimensão Poético-Filosófica: O Teatro do Inconsciente</w:t>
      </w:r>
    </w:p>
    <w:p w14:paraId="1FB9180D"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 xml:space="preserve">Para além das explicações médicas, a histeria permanece uma metáfora poderosa da condição humana. Ela nos mostra como o corpo pode tornar-se palco onde se encenam dramas psíquicos não resolvidos. Esta dimensão performática, que encontrou sua expressão máxima no teatro clínico de </w:t>
      </w:r>
      <w:proofErr w:type="spellStart"/>
      <w:r>
        <w:rPr>
          <w:rFonts w:ascii="Times New Roman" w:eastAsia="Times New Roman" w:hAnsi="Times New Roman" w:cs="Times New Roman"/>
          <w:color w:val="0F1115"/>
          <w:kern w:val="0"/>
          <w:sz w:val="24"/>
          <w:szCs w:val="24"/>
          <w:lang w:eastAsia="pt-BR"/>
          <w14:ligatures w14:val="none"/>
        </w:rPr>
        <w:t>Charcot</w:t>
      </w:r>
      <w:proofErr w:type="spellEnd"/>
      <w:r>
        <w:rPr>
          <w:rFonts w:ascii="Times New Roman" w:eastAsia="Times New Roman" w:hAnsi="Times New Roman" w:cs="Times New Roman"/>
          <w:color w:val="0F1115"/>
          <w:kern w:val="0"/>
          <w:sz w:val="24"/>
          <w:szCs w:val="24"/>
          <w:lang w:eastAsia="pt-BR"/>
          <w14:ligatures w14:val="none"/>
        </w:rPr>
        <w:t xml:space="preserve"> e na teoria psicanalítica de Freud, revela a profunda interconexão entre corpo e mente, e como o sofrimento psicológico pode encontrar vias surpreendentes de expressão quando as palavras falham.</w:t>
      </w:r>
    </w:p>
    <w:p w14:paraId="1ADC7667" w14:textId="77777777" w:rsidR="0003312E" w:rsidRDefault="0003312E">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p>
    <w:p w14:paraId="16B7126E" w14:textId="77777777" w:rsidR="0003312E" w:rsidRDefault="0003312E">
      <w:pPr>
        <w:shd w:val="clear" w:color="auto" w:fill="FFFFFF"/>
        <w:spacing w:after="0" w:line="360" w:lineRule="auto"/>
        <w:ind w:firstLine="709"/>
        <w:jc w:val="both"/>
        <w:rPr>
          <w:rFonts w:ascii="Times New Roman" w:eastAsia="Times New Roman" w:hAnsi="Times New Roman" w:cs="Times New Roman"/>
          <w:b/>
          <w:bCs/>
          <w:color w:val="0F1115"/>
          <w:kern w:val="0"/>
          <w:sz w:val="24"/>
          <w:szCs w:val="24"/>
          <w:lang w:eastAsia="pt-BR"/>
          <w14:ligatures w14:val="none"/>
        </w:rPr>
      </w:pPr>
    </w:p>
    <w:p w14:paraId="084AC49B" w14:textId="77777777" w:rsidR="0003312E" w:rsidRDefault="0003312E">
      <w:pPr>
        <w:shd w:val="clear" w:color="auto" w:fill="FFFFFF"/>
        <w:spacing w:after="0" w:line="360" w:lineRule="auto"/>
        <w:ind w:firstLine="709"/>
        <w:jc w:val="both"/>
        <w:rPr>
          <w:rFonts w:ascii="Times New Roman" w:eastAsia="Times New Roman" w:hAnsi="Times New Roman" w:cs="Times New Roman"/>
          <w:b/>
          <w:bCs/>
          <w:color w:val="0F1115"/>
          <w:kern w:val="0"/>
          <w:sz w:val="24"/>
          <w:szCs w:val="24"/>
          <w:lang w:eastAsia="pt-BR"/>
          <w14:ligatures w14:val="none"/>
        </w:rPr>
      </w:pPr>
    </w:p>
    <w:p w14:paraId="37651C17"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b/>
          <w:bCs/>
          <w:color w:val="0F1115"/>
          <w:kern w:val="0"/>
          <w:sz w:val="24"/>
          <w:szCs w:val="24"/>
          <w:lang w:eastAsia="pt-BR"/>
          <w14:ligatures w14:val="none"/>
        </w:rPr>
        <w:lastRenderedPageBreak/>
        <w:t>Próximo: O Esgotamento Moderno</w:t>
      </w:r>
    </w:p>
    <w:p w14:paraId="3CF37785"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r>
        <w:rPr>
          <w:rFonts w:ascii="Times New Roman" w:eastAsia="Times New Roman" w:hAnsi="Times New Roman" w:cs="Times New Roman"/>
          <w:color w:val="0F1115"/>
          <w:kern w:val="0"/>
          <w:sz w:val="24"/>
          <w:szCs w:val="24"/>
          <w:lang w:eastAsia="pt-BR"/>
          <w14:ligatures w14:val="none"/>
        </w:rPr>
        <w:t xml:space="preserve">Se </w:t>
      </w:r>
      <w:proofErr w:type="spellStart"/>
      <w:r>
        <w:rPr>
          <w:rFonts w:ascii="Times New Roman" w:eastAsia="Times New Roman" w:hAnsi="Times New Roman" w:cs="Times New Roman"/>
          <w:color w:val="0F1115"/>
          <w:kern w:val="0"/>
          <w:sz w:val="24"/>
          <w:szCs w:val="24"/>
          <w:lang w:eastAsia="pt-BR"/>
          <w14:ligatures w14:val="none"/>
        </w:rPr>
        <w:t>Charcot</w:t>
      </w:r>
      <w:proofErr w:type="spellEnd"/>
      <w:r>
        <w:rPr>
          <w:rFonts w:ascii="Times New Roman" w:eastAsia="Times New Roman" w:hAnsi="Times New Roman" w:cs="Times New Roman"/>
          <w:color w:val="0F1115"/>
          <w:kern w:val="0"/>
          <w:sz w:val="24"/>
          <w:szCs w:val="24"/>
          <w:lang w:eastAsia="pt-BR"/>
          <w14:ligatures w14:val="none"/>
        </w:rPr>
        <w:t xml:space="preserve"> dedicou sua genialidade clínica a decifrar os teatros corporais da histeria individual, seria seu contemporâneo George Miller Beard quem diagnosticaria uma verdadeira epidemia coletiva da era industrial: a neurastenia. Enquanto a histeria externalizava conflitos internos em sintomas físicos dramáticos, a neurastenia representava um esgotamento mais silencioso, um colapso interno da energia nervosa diante dos excessos e da aceleração da civilização moderna. É assim que nossa jornada pela </w:t>
      </w:r>
      <w:proofErr w:type="spellStart"/>
      <w:r>
        <w:rPr>
          <w:rFonts w:ascii="Times New Roman" w:eastAsia="Times New Roman" w:hAnsi="Times New Roman" w:cs="Times New Roman"/>
          <w:color w:val="0F1115"/>
          <w:kern w:val="0"/>
          <w:sz w:val="24"/>
          <w:szCs w:val="24"/>
          <w:lang w:eastAsia="pt-BR"/>
          <w14:ligatures w14:val="none"/>
        </w:rPr>
        <w:t>neuroetimologia</w:t>
      </w:r>
      <w:proofErr w:type="spellEnd"/>
      <w:r>
        <w:rPr>
          <w:rFonts w:ascii="Times New Roman" w:eastAsia="Times New Roman" w:hAnsi="Times New Roman" w:cs="Times New Roman"/>
          <w:color w:val="0F1115"/>
          <w:kern w:val="0"/>
          <w:sz w:val="24"/>
          <w:szCs w:val="24"/>
          <w:lang w:eastAsia="pt-BR"/>
          <w14:ligatures w14:val="none"/>
        </w:rPr>
        <w:t xml:space="preserve"> da angústia nos transporta do palco vibrante da </w:t>
      </w:r>
      <w:proofErr w:type="spellStart"/>
      <w:r>
        <w:rPr>
          <w:rFonts w:ascii="Times New Roman" w:eastAsia="Times New Roman" w:hAnsi="Times New Roman" w:cs="Times New Roman"/>
          <w:color w:val="0F1115"/>
          <w:kern w:val="0"/>
          <w:sz w:val="24"/>
          <w:szCs w:val="24"/>
          <w:lang w:eastAsia="pt-BR"/>
          <w14:ligatures w14:val="none"/>
        </w:rPr>
        <w:t>Salpêtrière</w:t>
      </w:r>
      <w:proofErr w:type="spellEnd"/>
      <w:r>
        <w:rPr>
          <w:rFonts w:ascii="Times New Roman" w:eastAsia="Times New Roman" w:hAnsi="Times New Roman" w:cs="Times New Roman"/>
          <w:color w:val="0F1115"/>
          <w:kern w:val="0"/>
          <w:sz w:val="24"/>
          <w:szCs w:val="24"/>
          <w:lang w:eastAsia="pt-BR"/>
          <w14:ligatures w14:val="none"/>
        </w:rPr>
        <w:t xml:space="preserve"> para o consultório de Nova York, revelando de forma cada vez mais clara como o corpo humano, em suas mais diversas manifestações, absorve e expressa as tensões específicas de seu tempo histórico.</w:t>
      </w:r>
    </w:p>
    <w:p w14:paraId="633D08FF"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br w:type="page"/>
      </w:r>
    </w:p>
    <w:tbl>
      <w:tblPr>
        <w:tblStyle w:val="Tabelacomgrade"/>
        <w:tblW w:w="850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Look w:val="04A0" w:firstRow="1" w:lastRow="0" w:firstColumn="1" w:lastColumn="0" w:noHBand="0" w:noVBand="1"/>
      </w:tblPr>
      <w:tblGrid>
        <w:gridCol w:w="4353"/>
        <w:gridCol w:w="4152"/>
      </w:tblGrid>
      <w:tr w:rsidR="0003312E" w14:paraId="085CD2C1" w14:textId="77777777">
        <w:trPr>
          <w:trHeight w:val="470"/>
        </w:trPr>
        <w:tc>
          <w:tcPr>
            <w:tcW w:w="8505" w:type="dxa"/>
            <w:gridSpan w:val="2"/>
            <w:tcBorders>
              <w:top w:val="nil"/>
              <w:left w:val="nil"/>
              <w:bottom w:val="nil"/>
              <w:right w:val="nil"/>
            </w:tcBorders>
          </w:tcPr>
          <w:p w14:paraId="378F1D1E" w14:textId="77777777" w:rsidR="0003312E" w:rsidRDefault="00000000">
            <w:pPr>
              <w:pBdr>
                <w:left w:val="single" w:sz="80" w:space="4" w:color="7F7F7F" w:themeColor="text1" w:themeTint="80"/>
                <w:bottom w:val="single" w:sz="8" w:space="4" w:color="7F7F7F" w:themeColor="text1" w:themeTint="80"/>
              </w:pBdr>
              <w:spacing w:after="0" w:line="240" w:lineRule="auto"/>
              <w:rPr>
                <w:rFonts w:ascii="Times New Roman" w:eastAsia="SimSun" w:hAnsi="Times New Roman" w:cs="Times New Roman"/>
                <w:b/>
                <w:bCs/>
                <w:sz w:val="24"/>
                <w:szCs w:val="24"/>
              </w:rPr>
            </w:pPr>
            <w:r>
              <w:rPr>
                <w:rFonts w:ascii="Times New Roman" w:hAnsi="Times New Roman" w:cs="Times New Roman"/>
                <w:b/>
                <w:bCs/>
                <w:sz w:val="24"/>
                <w:szCs w:val="24"/>
              </w:rPr>
              <w:lastRenderedPageBreak/>
              <w:t xml:space="preserve">Capítulo </w:t>
            </w:r>
            <w:proofErr w:type="gramStart"/>
            <w:r>
              <w:rPr>
                <w:rFonts w:ascii="Times New Roman" w:hAnsi="Times New Roman" w:cs="Times New Roman"/>
                <w:b/>
                <w:bCs/>
                <w:sz w:val="24"/>
                <w:szCs w:val="24"/>
              </w:rPr>
              <w:t>8  -</w:t>
            </w:r>
            <w:proofErr w:type="gramEnd"/>
            <w:r>
              <w:rPr>
                <w:rFonts w:ascii="Times New Roman" w:hAnsi="Times New Roman" w:cs="Times New Roman"/>
                <w:b/>
                <w:bCs/>
                <w:sz w:val="24"/>
                <w:szCs w:val="24"/>
              </w:rPr>
              <w:t xml:space="preserve">  </w:t>
            </w:r>
            <w:r>
              <w:rPr>
                <w:rFonts w:ascii="Times New Roman" w:eastAsiaTheme="majorEastAsia" w:hAnsi="Times New Roman" w:cs="Times New Roman"/>
                <w:b/>
                <w:bCs/>
                <w:sz w:val="24"/>
                <w:szCs w:val="24"/>
              </w:rPr>
              <w:t>Neurastenia: O Cansaço de uma Era</w:t>
            </w:r>
          </w:p>
        </w:tc>
      </w:tr>
      <w:tr w:rsidR="0003312E" w14:paraId="6781A3D0" w14:textId="77777777">
        <w:tc>
          <w:tcPr>
            <w:tcW w:w="4353" w:type="dxa"/>
            <w:tcBorders>
              <w:top w:val="nil"/>
              <w:left w:val="nil"/>
              <w:bottom w:val="nil"/>
              <w:right w:val="nil"/>
            </w:tcBorders>
          </w:tcPr>
          <w:p w14:paraId="6C0DFB32" w14:textId="77777777" w:rsidR="0003312E" w:rsidRDefault="00000000">
            <w:pPr>
              <w:spacing w:after="0" w:line="240" w:lineRule="auto"/>
              <w:jc w:val="center"/>
              <w:rPr>
                <w:rStyle w:val="Forte"/>
                <w:rFonts w:ascii="Times New Roman" w:eastAsia="Garamond" w:hAnsi="Times New Roman" w:cs="Times New Roman"/>
                <w:b w:val="0"/>
                <w:bCs w:val="0"/>
                <w:sz w:val="24"/>
                <w:szCs w:val="24"/>
              </w:rPr>
            </w:pPr>
            <w:r>
              <w:rPr>
                <w:rFonts w:ascii="Times New Roman" w:eastAsia="SimSun" w:hAnsi="Times New Roman" w:cs="Times New Roman"/>
                <w:noProof/>
                <w:sz w:val="24"/>
                <w:szCs w:val="24"/>
              </w:rPr>
              <w:drawing>
                <wp:inline distT="0" distB="0" distL="114300" distR="114300" wp14:anchorId="697E9D27" wp14:editId="395FCCFE">
                  <wp:extent cx="1932940" cy="1932940"/>
                  <wp:effectExtent l="0" t="0" r="2540" b="2540"/>
                  <wp:docPr id="7" name="Imagem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3" descr="IMG_256"/>
                          <pic:cNvPicPr>
                            <a:picLocks noChangeAspect="1"/>
                          </pic:cNvPicPr>
                        </pic:nvPicPr>
                        <pic:blipFill>
                          <a:blip r:embed="rId27"/>
                          <a:stretch>
                            <a:fillRect/>
                          </a:stretch>
                        </pic:blipFill>
                        <pic:spPr>
                          <a:xfrm>
                            <a:off x="0" y="0"/>
                            <a:ext cx="1932940" cy="1932940"/>
                          </a:xfrm>
                          <a:prstGeom prst="rect">
                            <a:avLst/>
                          </a:prstGeom>
                          <a:noFill/>
                          <a:ln w="9525">
                            <a:noFill/>
                          </a:ln>
                        </pic:spPr>
                      </pic:pic>
                    </a:graphicData>
                  </a:graphic>
                </wp:inline>
              </w:drawing>
            </w:r>
          </w:p>
        </w:tc>
        <w:tc>
          <w:tcPr>
            <w:tcW w:w="4152" w:type="dxa"/>
            <w:tcBorders>
              <w:top w:val="nil"/>
              <w:left w:val="nil"/>
              <w:bottom w:val="nil"/>
              <w:right w:val="nil"/>
            </w:tcBorders>
          </w:tcPr>
          <w:p w14:paraId="6F6A9922" w14:textId="77777777" w:rsidR="0003312E" w:rsidRDefault="00000000">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noProof/>
                <w:sz w:val="24"/>
                <w:szCs w:val="24"/>
              </w:rPr>
              <w:drawing>
                <wp:inline distT="0" distB="0" distL="114300" distR="114300" wp14:anchorId="2B47EE5D" wp14:editId="01902135">
                  <wp:extent cx="1401445" cy="1885950"/>
                  <wp:effectExtent l="0" t="0" r="635" b="3810"/>
                  <wp:docPr id="55" name="Imagem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m 24" descr="IMG_256"/>
                          <pic:cNvPicPr>
                            <a:picLocks noChangeAspect="1"/>
                          </pic:cNvPicPr>
                        </pic:nvPicPr>
                        <pic:blipFill>
                          <a:blip r:embed="rId28"/>
                          <a:stretch>
                            <a:fillRect/>
                          </a:stretch>
                        </pic:blipFill>
                        <pic:spPr>
                          <a:xfrm>
                            <a:off x="0" y="0"/>
                            <a:ext cx="1401445" cy="1885950"/>
                          </a:xfrm>
                          <a:prstGeom prst="rect">
                            <a:avLst/>
                          </a:prstGeom>
                          <a:noFill/>
                          <a:ln w="9525">
                            <a:noFill/>
                          </a:ln>
                        </pic:spPr>
                      </pic:pic>
                    </a:graphicData>
                  </a:graphic>
                </wp:inline>
              </w:drawing>
            </w:r>
          </w:p>
        </w:tc>
      </w:tr>
      <w:tr w:rsidR="0003312E" w14:paraId="20DC3EE8" w14:textId="77777777">
        <w:trPr>
          <w:trHeight w:val="476"/>
        </w:trPr>
        <w:tc>
          <w:tcPr>
            <w:tcW w:w="4353" w:type="dxa"/>
            <w:tcBorders>
              <w:top w:val="nil"/>
              <w:left w:val="nil"/>
              <w:bottom w:val="nil"/>
              <w:right w:val="nil"/>
            </w:tcBorders>
          </w:tcPr>
          <w:p w14:paraId="73764324" w14:textId="77777777" w:rsidR="0003312E" w:rsidRDefault="00000000">
            <w:pPr>
              <w:pStyle w:val="NormalWeb"/>
              <w:spacing w:beforeAutospacing="0" w:after="0" w:afterAutospacing="0" w:line="240" w:lineRule="auto"/>
              <w:rPr>
                <w:rStyle w:val="Forte"/>
                <w:rFonts w:eastAsia="Garamond"/>
                <w:b w:val="0"/>
                <w:bCs w:val="0"/>
                <w:sz w:val="24"/>
                <w:lang w:val="pt-BR"/>
              </w:rPr>
            </w:pPr>
            <w:r>
              <w:rPr>
                <w:rFonts w:eastAsiaTheme="majorEastAsia"/>
                <w:i/>
                <w:iCs/>
                <w:sz w:val="24"/>
                <w:lang w:val="pt-BR"/>
              </w:rPr>
              <w:t>Figura 8.1: O Cérebro Sobrecarregado: A Fadiga da Civilização</w:t>
            </w:r>
            <w:r>
              <w:rPr>
                <w:rFonts w:eastAsiaTheme="majorEastAsia"/>
                <w:sz w:val="24"/>
                <w:lang w:val="pt-BR"/>
              </w:rPr>
              <w:br/>
            </w:r>
          </w:p>
        </w:tc>
        <w:tc>
          <w:tcPr>
            <w:tcW w:w="4152" w:type="dxa"/>
            <w:tcBorders>
              <w:top w:val="nil"/>
              <w:left w:val="nil"/>
              <w:bottom w:val="nil"/>
              <w:right w:val="nil"/>
            </w:tcBorders>
          </w:tcPr>
          <w:p w14:paraId="1AFAC174" w14:textId="77777777" w:rsidR="0003312E" w:rsidRDefault="00000000">
            <w:pPr>
              <w:spacing w:after="0" w:line="240" w:lineRule="auto"/>
              <w:rPr>
                <w:rStyle w:val="Forte"/>
                <w:rFonts w:ascii="Times New Roman" w:eastAsia="Garamond" w:hAnsi="Times New Roman" w:cs="Times New Roman"/>
                <w:b w:val="0"/>
                <w:bCs w:val="0"/>
                <w:sz w:val="24"/>
                <w:szCs w:val="24"/>
              </w:rPr>
            </w:pPr>
            <w:r>
              <w:rPr>
                <w:rFonts w:ascii="Times New Roman" w:eastAsiaTheme="majorEastAsia" w:hAnsi="Times New Roman" w:cs="Times New Roman"/>
                <w:i/>
                <w:iCs/>
                <w:sz w:val="24"/>
                <w:szCs w:val="24"/>
              </w:rPr>
              <w:t xml:space="preserve">Figura 8.2: </w:t>
            </w:r>
            <w:r>
              <w:rPr>
                <w:rFonts w:ascii="Times New Roman" w:eastAsia="Segoe UI" w:hAnsi="Times New Roman" w:cs="Times New Roman"/>
                <w:sz w:val="24"/>
                <w:szCs w:val="24"/>
                <w:shd w:val="clear" w:color="auto" w:fill="FFFFFF"/>
              </w:rPr>
              <w:t>George Miller Beard (1839 - 1883)</w:t>
            </w:r>
            <w:r>
              <w:rPr>
                <w:rFonts w:ascii="Times New Roman" w:eastAsiaTheme="majorEastAsia" w:hAnsi="Times New Roman" w:cs="Times New Roman"/>
                <w:i/>
                <w:iCs/>
                <w:sz w:val="24"/>
                <w:szCs w:val="24"/>
              </w:rPr>
              <w:t>: O Médico que Diagnosticou o Espírito de Seu Tempo</w:t>
            </w:r>
          </w:p>
        </w:tc>
      </w:tr>
    </w:tbl>
    <w:p w14:paraId="3C6613DD" w14:textId="77777777" w:rsidR="0003312E" w:rsidRDefault="0003312E">
      <w:pPr>
        <w:spacing w:after="0" w:line="360" w:lineRule="auto"/>
        <w:ind w:firstLine="709"/>
        <w:jc w:val="both"/>
        <w:rPr>
          <w:rFonts w:ascii="Times New Roman" w:eastAsia="Segoe UI" w:hAnsi="Times New Roman" w:cs="Times New Roman"/>
          <w:sz w:val="24"/>
          <w:szCs w:val="24"/>
          <w:shd w:val="clear" w:color="auto" w:fill="FFFFFF"/>
          <w:lang w:eastAsia="zh-CN"/>
        </w:rPr>
      </w:pPr>
    </w:p>
    <w:p w14:paraId="3314C700"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Neurastenia em Poucas Palavras: O Esgotamento dos Nervos</w:t>
      </w:r>
    </w:p>
    <w:p w14:paraId="3F2309F1"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O fenômeno da neurastenia nos convida a explorar um diagnóstico que capturou como nenhum outro o mal-estar de uma era em transformação, e para compreendê-lo em toda sua riqueza, percorreremos quatro dimensões fundamentais que se entrelaçam. A primeira nos revela sua origem etimológica, que significa literalmente "fraqueza dos nervos", um termo que já carrega em si a essência do que seria descrito. A segunda nos guia por sua fascinante jornada histórica, onde veremos como esse diagnóstico soube capturar o espírito de uma época industrializada e acelerada. A terceira dimensão desvenda como a neurociência contemporânea compreende os mecanismos por trás desse esgotamento que parecia tão misterioso no século XIX. E a quarta nos leva ao plano filosófico, onde a neurastenia emerge como uma metáfora poderosa do custo humano do progresso desenfreado. São essas quatro perspectivas, integradas na seção final, que nos oferecem uma compreensão profunda desse fenômeno que, de muitas formas, antecipou questões que continuam pertinentes em nossa própria época.</w:t>
      </w:r>
    </w:p>
    <w:p w14:paraId="3E412C35" w14:textId="77777777" w:rsidR="0003312E"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6549B5EF"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A Jornada da Palavra: Dos Nervos ao Esgotamento</w:t>
      </w:r>
    </w:p>
    <w:p w14:paraId="57D57301"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 xml:space="preserve">Na obra American </w:t>
      </w:r>
      <w:proofErr w:type="spellStart"/>
      <w:r>
        <w:rPr>
          <w:rFonts w:ascii="Times New Roman" w:eastAsia="Segoe UI" w:hAnsi="Times New Roman" w:cs="Times New Roman"/>
          <w:sz w:val="24"/>
          <w:szCs w:val="24"/>
          <w:shd w:val="clear" w:color="auto" w:fill="FFFFFF"/>
          <w:lang w:eastAsia="zh-CN"/>
        </w:rPr>
        <w:t>Nervousness</w:t>
      </w:r>
      <w:proofErr w:type="spellEnd"/>
      <w:r>
        <w:rPr>
          <w:rFonts w:ascii="Times New Roman" w:eastAsia="Segoe UI" w:hAnsi="Times New Roman" w:cs="Times New Roman"/>
          <w:sz w:val="24"/>
          <w:szCs w:val="24"/>
          <w:shd w:val="clear" w:color="auto" w:fill="FFFFFF"/>
          <w:lang w:eastAsia="zh-CN"/>
        </w:rPr>
        <w:t xml:space="preserve">: Its Causes </w:t>
      </w:r>
      <w:proofErr w:type="spellStart"/>
      <w:r>
        <w:rPr>
          <w:rFonts w:ascii="Times New Roman" w:eastAsia="Segoe UI" w:hAnsi="Times New Roman" w:cs="Times New Roman"/>
          <w:sz w:val="24"/>
          <w:szCs w:val="24"/>
          <w:shd w:val="clear" w:color="auto" w:fill="FFFFFF"/>
          <w:lang w:eastAsia="zh-CN"/>
        </w:rPr>
        <w:t>and</w:t>
      </w:r>
      <w:proofErr w:type="spellEnd"/>
      <w:r>
        <w:rPr>
          <w:rFonts w:ascii="Times New Roman" w:eastAsia="Segoe UI" w:hAnsi="Times New Roman" w:cs="Times New Roman"/>
          <w:sz w:val="24"/>
          <w:szCs w:val="24"/>
          <w:shd w:val="clear" w:color="auto" w:fill="FFFFFF"/>
          <w:lang w:eastAsia="zh-CN"/>
        </w:rPr>
        <w:t xml:space="preserve"> </w:t>
      </w:r>
      <w:proofErr w:type="spellStart"/>
      <w:r>
        <w:rPr>
          <w:rFonts w:ascii="Times New Roman" w:eastAsia="Segoe UI" w:hAnsi="Times New Roman" w:cs="Times New Roman"/>
          <w:sz w:val="24"/>
          <w:szCs w:val="24"/>
          <w:shd w:val="clear" w:color="auto" w:fill="FFFFFF"/>
          <w:lang w:eastAsia="zh-CN"/>
        </w:rPr>
        <w:t>Consequences</w:t>
      </w:r>
      <w:proofErr w:type="spellEnd"/>
      <w:r>
        <w:rPr>
          <w:rFonts w:ascii="Times New Roman" w:eastAsia="Segoe UI" w:hAnsi="Times New Roman" w:cs="Times New Roman"/>
          <w:sz w:val="24"/>
          <w:szCs w:val="24"/>
          <w:shd w:val="clear" w:color="auto" w:fill="FFFFFF"/>
          <w:lang w:eastAsia="zh-CN"/>
        </w:rPr>
        <w:t xml:space="preserve"> (1881), George Miller Beard não apenas descreveu uma doença, mas diagnosticou toda uma época. Para o neurologista, a neurastenia representava o custo humano da Revolução Industrial e da modernização acelerada do século XIX, um preço cobrado diretamente do sistema nervoso. Beard identificou como agentes desencadeadores a pressão das locomotivas a vapor, a avalanche informativa dos jornais, a aceleração das comunicações telegráficas, as exigências do conhecimento científico e a agitação da vida urbana que podiam 'descarrilar' o organismo, esgotando suas reservas de </w:t>
      </w:r>
      <w:r>
        <w:rPr>
          <w:rFonts w:ascii="Times New Roman" w:eastAsia="Segoe UI" w:hAnsi="Times New Roman" w:cs="Times New Roman"/>
          <w:sz w:val="24"/>
          <w:szCs w:val="24"/>
          <w:shd w:val="clear" w:color="auto" w:fill="FFFFFF"/>
          <w:lang w:eastAsia="zh-CN"/>
        </w:rPr>
        <w:lastRenderedPageBreak/>
        <w:t xml:space="preserve">'força nervosa'.  Este era um conceito fisiológico da época: o sistema nervoso era entendido como um reservatório de energia neural finita - uma força esgotável, frequentemente comparada à eletricidade ou a uma bateria que podia se descarregar por completo. Pela primeira vez, um médico propunha que o ambiente </w:t>
      </w:r>
      <w:proofErr w:type="spellStart"/>
      <w:r>
        <w:rPr>
          <w:rFonts w:ascii="Times New Roman" w:eastAsia="Segoe UI" w:hAnsi="Times New Roman" w:cs="Times New Roman"/>
          <w:sz w:val="24"/>
          <w:szCs w:val="24"/>
          <w:shd w:val="clear" w:color="auto" w:fill="FFFFFF"/>
          <w:lang w:eastAsia="zh-CN"/>
        </w:rPr>
        <w:t>sociotecnológico</w:t>
      </w:r>
      <w:proofErr w:type="spellEnd"/>
      <w:r>
        <w:rPr>
          <w:rFonts w:ascii="Times New Roman" w:eastAsia="Segoe UI" w:hAnsi="Times New Roman" w:cs="Times New Roman"/>
          <w:sz w:val="24"/>
          <w:szCs w:val="24"/>
          <w:shd w:val="clear" w:color="auto" w:fill="FFFFFF"/>
          <w:lang w:eastAsia="zh-CN"/>
        </w:rPr>
        <w:t xml:space="preserve"> podia "descarrilar" o organismo, esgotando suas reservas de "força nervosa" - um conceito fisiológico da época, que entendia o sistema nervoso como um reservatório de energia elétrica ou vital finita, semelhante a uma bateria que podia se esgotar.</w:t>
      </w:r>
    </w:p>
    <w:p w14:paraId="32A9DDC2"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O diagnóstico rapidamente popularizou-se entre a classe média intelectual e profissional, justamente os grupos mais expostos às novas demandas da modernidade. Contudo, permanece o debate sobre se a neurastenia constituiu uma epidemia real de esgotamento ou uma construção social que refletia ansiedades culturais diante do progresso acelerado. Essa ambiguidade manifestava-se claramente nas abordagens terapêuticas: o famoso "</w:t>
      </w:r>
      <w:proofErr w:type="spellStart"/>
      <w:r>
        <w:rPr>
          <w:rFonts w:ascii="Times New Roman" w:eastAsia="Segoe UI" w:hAnsi="Times New Roman" w:cs="Times New Roman"/>
          <w:sz w:val="24"/>
          <w:szCs w:val="24"/>
          <w:shd w:val="clear" w:color="auto" w:fill="FFFFFF"/>
          <w:lang w:eastAsia="zh-CN"/>
        </w:rPr>
        <w:t>rest</w:t>
      </w:r>
      <w:proofErr w:type="spellEnd"/>
      <w:r>
        <w:rPr>
          <w:rFonts w:ascii="Times New Roman" w:eastAsia="Segoe UI" w:hAnsi="Times New Roman" w:cs="Times New Roman"/>
          <w:sz w:val="24"/>
          <w:szCs w:val="24"/>
          <w:shd w:val="clear" w:color="auto" w:fill="FFFFFF"/>
          <w:lang w:eastAsia="zh-CN"/>
        </w:rPr>
        <w:t xml:space="preserve"> cure" de Silas Weir Mitchell, embora concebido com intenção terapêutica genuína, revelava-se também como instrumento de controle social. Seu protocolo de isolamento rigoroso, repouso absoluto e alimentação forçada era aplicado predominantemente a mulheres, frequentemente confinando-as à esfera doméstica quando suas aspirações transcendiam os papéis de gênero estabelecidos.</w:t>
      </w:r>
    </w:p>
    <w:p w14:paraId="39AD20A3"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A concepção de Beard enquadrava a neurastenia como um transtorno que ele acreditava ser orgânico, mas cuja lesão era invisível aos microscópios de sua época - tangível apenas em suas consequências. Essa busca por uma base estrutural invisível o diferencia da compreensão atual dos transtornos funcionais, que são vistos como problemas na regulação e função do sistema nervoso, e não necessariamente em sua anatomia. Seu quadro sintomatológico incluía fadiga física e mental crônica, perturbações gástricas, insônia e ansiedade flutuante, sintomas que desafiavam a medicina da época por sua natureza subjetiva e não detectável por instrumentos convencionais.</w:t>
      </w:r>
    </w:p>
    <w:p w14:paraId="41C9D9CB"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 xml:space="preserve">O diagnóstico logo transcendeu fronteiras, alcançando notável popularidade na Europa através de figuras como Jean-Martin </w:t>
      </w:r>
      <w:proofErr w:type="spellStart"/>
      <w:r>
        <w:rPr>
          <w:rFonts w:ascii="Times New Roman" w:eastAsia="Segoe UI" w:hAnsi="Times New Roman" w:cs="Times New Roman"/>
          <w:sz w:val="24"/>
          <w:szCs w:val="24"/>
          <w:shd w:val="clear" w:color="auto" w:fill="FFFFFF"/>
          <w:lang w:eastAsia="zh-CN"/>
        </w:rPr>
        <w:t>Charcot</w:t>
      </w:r>
      <w:proofErr w:type="spellEnd"/>
      <w:r>
        <w:rPr>
          <w:rFonts w:ascii="Times New Roman" w:eastAsia="Segoe UI" w:hAnsi="Times New Roman" w:cs="Times New Roman"/>
          <w:sz w:val="24"/>
          <w:szCs w:val="24"/>
          <w:shd w:val="clear" w:color="auto" w:fill="FFFFFF"/>
          <w:lang w:eastAsia="zh-CN"/>
        </w:rPr>
        <w:t>, que chegou a propor uma forma híbrida denominada "</w:t>
      </w:r>
      <w:proofErr w:type="spellStart"/>
      <w:r>
        <w:rPr>
          <w:rFonts w:ascii="Times New Roman" w:eastAsia="Segoe UI" w:hAnsi="Times New Roman" w:cs="Times New Roman"/>
          <w:sz w:val="24"/>
          <w:szCs w:val="24"/>
          <w:shd w:val="clear" w:color="auto" w:fill="FFFFFF"/>
          <w:lang w:eastAsia="zh-CN"/>
        </w:rPr>
        <w:t>histeroneurastenia</w:t>
      </w:r>
      <w:proofErr w:type="spellEnd"/>
      <w:r>
        <w:rPr>
          <w:rFonts w:ascii="Times New Roman" w:eastAsia="Segoe UI" w:hAnsi="Times New Roman" w:cs="Times New Roman"/>
          <w:sz w:val="24"/>
          <w:szCs w:val="24"/>
          <w:shd w:val="clear" w:color="auto" w:fill="FFFFFF"/>
          <w:lang w:eastAsia="zh-CN"/>
        </w:rPr>
        <w:t>". No Brasil, médicos como Juliano Moreira e Afrânio Peixoto discutiam sua pertinência em contexto nacional, observando sua relativa raridade possivelmente devido às diferentes condições de urbanização.</w:t>
      </w:r>
    </w:p>
    <w:p w14:paraId="77B50CA5"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 xml:space="preserve">O declínio do conceito acentuou-se nas primeiras décadas do século XX com o advento da psicanálise e novas categorias nosológicas. Explicações somáticas deram lugar a interpretações psicogênicas, transferindo o manejo desses pacientes do neurologista para o psiquiatra. Curiosamente, enquanto desaparecia no </w:t>
      </w:r>
      <w:proofErr w:type="spellStart"/>
      <w:r>
        <w:rPr>
          <w:rFonts w:ascii="Times New Roman" w:eastAsia="Segoe UI" w:hAnsi="Times New Roman" w:cs="Times New Roman"/>
          <w:sz w:val="24"/>
          <w:szCs w:val="24"/>
          <w:shd w:val="clear" w:color="auto" w:fill="FFFFFF"/>
          <w:lang w:eastAsia="zh-CN"/>
        </w:rPr>
        <w:t>Ocente</w:t>
      </w:r>
      <w:proofErr w:type="spellEnd"/>
      <w:r>
        <w:rPr>
          <w:rFonts w:ascii="Times New Roman" w:eastAsia="Segoe UI" w:hAnsi="Times New Roman" w:cs="Times New Roman"/>
          <w:sz w:val="24"/>
          <w:szCs w:val="24"/>
          <w:shd w:val="clear" w:color="auto" w:fill="FFFFFF"/>
          <w:lang w:eastAsia="zh-CN"/>
        </w:rPr>
        <w:t>, a neurastenia mantinha vitalidade na China como "</w:t>
      </w:r>
      <w:proofErr w:type="spellStart"/>
      <w:r>
        <w:rPr>
          <w:rFonts w:ascii="Times New Roman" w:eastAsia="Segoe UI" w:hAnsi="Times New Roman" w:cs="Times New Roman"/>
          <w:sz w:val="24"/>
          <w:szCs w:val="24"/>
          <w:shd w:val="clear" w:color="auto" w:fill="FFFFFF"/>
          <w:lang w:eastAsia="zh-CN"/>
        </w:rPr>
        <w:t>shenjing</w:t>
      </w:r>
      <w:proofErr w:type="spellEnd"/>
      <w:r>
        <w:rPr>
          <w:rFonts w:ascii="Times New Roman" w:eastAsia="Segoe UI" w:hAnsi="Times New Roman" w:cs="Times New Roman"/>
          <w:sz w:val="24"/>
          <w:szCs w:val="24"/>
          <w:shd w:val="clear" w:color="auto" w:fill="FFFFFF"/>
          <w:lang w:eastAsia="zh-CN"/>
        </w:rPr>
        <w:t xml:space="preserve"> </w:t>
      </w:r>
      <w:proofErr w:type="spellStart"/>
      <w:r>
        <w:rPr>
          <w:rFonts w:ascii="Times New Roman" w:eastAsia="Segoe UI" w:hAnsi="Times New Roman" w:cs="Times New Roman"/>
          <w:sz w:val="24"/>
          <w:szCs w:val="24"/>
          <w:shd w:val="clear" w:color="auto" w:fill="FFFFFF"/>
          <w:lang w:eastAsia="zh-CN"/>
        </w:rPr>
        <w:t>shuairuo</w:t>
      </w:r>
      <w:proofErr w:type="spellEnd"/>
      <w:r>
        <w:rPr>
          <w:rFonts w:ascii="Times New Roman" w:eastAsia="Segoe UI" w:hAnsi="Times New Roman" w:cs="Times New Roman"/>
          <w:sz w:val="24"/>
          <w:szCs w:val="24"/>
          <w:shd w:val="clear" w:color="auto" w:fill="FFFFFF"/>
          <w:lang w:eastAsia="zh-CN"/>
        </w:rPr>
        <w:t xml:space="preserve">", e seu legado sintomatológico ressurgiria décadas depois </w:t>
      </w:r>
      <w:r>
        <w:rPr>
          <w:rFonts w:ascii="Times New Roman" w:eastAsia="Segoe UI" w:hAnsi="Times New Roman" w:cs="Times New Roman"/>
          <w:sz w:val="24"/>
          <w:szCs w:val="24"/>
          <w:shd w:val="clear" w:color="auto" w:fill="FFFFFF"/>
          <w:lang w:eastAsia="zh-CN"/>
        </w:rPr>
        <w:lastRenderedPageBreak/>
        <w:t>através de diagnósticos como a </w:t>
      </w:r>
      <w:r>
        <w:rPr>
          <w:rFonts w:ascii="Times New Roman" w:eastAsia="Segoe UI" w:hAnsi="Times New Roman" w:cs="Times New Roman"/>
          <w:b/>
          <w:bCs/>
          <w:sz w:val="24"/>
          <w:szCs w:val="24"/>
          <w:shd w:val="clear" w:color="auto" w:fill="FFFFFF"/>
          <w:lang w:eastAsia="zh-CN"/>
        </w:rPr>
        <w:t>síndrome da fadiga crônica</w:t>
      </w:r>
      <w:r>
        <w:rPr>
          <w:rFonts w:ascii="Times New Roman" w:eastAsia="Segoe UI" w:hAnsi="Times New Roman" w:cs="Times New Roman"/>
          <w:sz w:val="24"/>
          <w:szCs w:val="24"/>
          <w:shd w:val="clear" w:color="auto" w:fill="FFFFFF"/>
          <w:lang w:eastAsia="zh-CN"/>
        </w:rPr>
        <w:t> e, sobretudo, a </w:t>
      </w:r>
      <w:r>
        <w:rPr>
          <w:rFonts w:ascii="Times New Roman" w:eastAsia="Segoe UI" w:hAnsi="Times New Roman" w:cs="Times New Roman"/>
          <w:b/>
          <w:bCs/>
          <w:sz w:val="24"/>
          <w:szCs w:val="24"/>
          <w:shd w:val="clear" w:color="auto" w:fill="FFFFFF"/>
          <w:lang w:eastAsia="zh-CN"/>
        </w:rPr>
        <w:t xml:space="preserve">síndrome de </w:t>
      </w:r>
      <w:r>
        <w:rPr>
          <w:rFonts w:ascii="Times New Roman" w:eastAsia="Segoe UI" w:hAnsi="Times New Roman" w:cs="Times New Roman"/>
          <w:b/>
          <w:bCs/>
          <w:i/>
          <w:iCs/>
          <w:sz w:val="24"/>
          <w:szCs w:val="24"/>
          <w:shd w:val="clear" w:color="auto" w:fill="FFFFFF"/>
          <w:lang w:eastAsia="zh-CN"/>
        </w:rPr>
        <w:t>burnout</w:t>
      </w:r>
      <w:r>
        <w:rPr>
          <w:rFonts w:ascii="Times New Roman" w:eastAsia="Segoe UI" w:hAnsi="Times New Roman" w:cs="Times New Roman"/>
          <w:sz w:val="24"/>
          <w:szCs w:val="24"/>
          <w:shd w:val="clear" w:color="auto" w:fill="FFFFFF"/>
          <w:lang w:eastAsia="zh-CN"/>
        </w:rPr>
        <w:t>.</w:t>
      </w:r>
    </w:p>
    <w:p w14:paraId="77B31637"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O </w:t>
      </w:r>
      <w:r>
        <w:rPr>
          <w:rFonts w:ascii="Times New Roman" w:eastAsia="Segoe UI" w:hAnsi="Times New Roman" w:cs="Times New Roman"/>
          <w:b/>
          <w:bCs/>
          <w:i/>
          <w:iCs/>
          <w:sz w:val="24"/>
          <w:szCs w:val="24"/>
          <w:shd w:val="clear" w:color="auto" w:fill="FFFFFF"/>
          <w:lang w:eastAsia="zh-CN"/>
        </w:rPr>
        <w:t>burnout</w:t>
      </w:r>
      <w:r>
        <w:rPr>
          <w:rFonts w:ascii="Times New Roman" w:eastAsia="Segoe UI" w:hAnsi="Times New Roman" w:cs="Times New Roman"/>
          <w:sz w:val="24"/>
          <w:szCs w:val="24"/>
          <w:shd w:val="clear" w:color="auto" w:fill="FFFFFF"/>
          <w:lang w:eastAsia="zh-CN"/>
        </w:rPr>
        <w:t>, reconhecido pela OMS como um fenômeno ocupacional, pode ser lido como a neurastenia do século XXI. Enquanto Beard atribuía o esgotamento aos 'nervos' sobrecarregados pelo telégrafo e pela agitação urbana, hoje compreendemos o </w:t>
      </w:r>
      <w:r>
        <w:rPr>
          <w:rFonts w:ascii="Times New Roman" w:eastAsia="Segoe UI" w:hAnsi="Times New Roman" w:cs="Times New Roman"/>
          <w:b/>
          <w:bCs/>
          <w:sz w:val="24"/>
          <w:szCs w:val="24"/>
          <w:shd w:val="clear" w:color="auto" w:fill="FFFFFF"/>
          <w:lang w:eastAsia="zh-CN"/>
        </w:rPr>
        <w:t>estresse crônico</w:t>
      </w:r>
      <w:r>
        <w:rPr>
          <w:rFonts w:ascii="Times New Roman" w:eastAsia="Segoe UI" w:hAnsi="Times New Roman" w:cs="Times New Roman"/>
          <w:sz w:val="24"/>
          <w:szCs w:val="24"/>
          <w:shd w:val="clear" w:color="auto" w:fill="FFFFFF"/>
          <w:lang w:eastAsia="zh-CN"/>
        </w:rPr>
        <w:t> como o agente etiológico central. A fadiga mental e física, a sensação de esgotamento ('</w:t>
      </w:r>
      <w:proofErr w:type="spellStart"/>
      <w:r>
        <w:rPr>
          <w:rFonts w:ascii="Times New Roman" w:eastAsia="Segoe UI" w:hAnsi="Times New Roman" w:cs="Times New Roman"/>
          <w:sz w:val="24"/>
          <w:szCs w:val="24"/>
          <w:shd w:val="clear" w:color="auto" w:fill="FFFFFF"/>
          <w:lang w:eastAsia="zh-CN"/>
        </w:rPr>
        <w:t>exhaustion</w:t>
      </w:r>
      <w:proofErr w:type="spellEnd"/>
      <w:r>
        <w:rPr>
          <w:rFonts w:ascii="Times New Roman" w:eastAsia="Segoe UI" w:hAnsi="Times New Roman" w:cs="Times New Roman"/>
          <w:sz w:val="24"/>
          <w:szCs w:val="24"/>
          <w:shd w:val="clear" w:color="auto" w:fill="FFFFFF"/>
          <w:lang w:eastAsia="zh-CN"/>
        </w:rPr>
        <w:t>'), a despersonalização ('</w:t>
      </w:r>
      <w:proofErr w:type="spellStart"/>
      <w:r>
        <w:rPr>
          <w:rFonts w:ascii="Times New Roman" w:eastAsia="Segoe UI" w:hAnsi="Times New Roman" w:cs="Times New Roman"/>
          <w:sz w:val="24"/>
          <w:szCs w:val="24"/>
          <w:shd w:val="clear" w:color="auto" w:fill="FFFFFF"/>
          <w:lang w:eastAsia="zh-CN"/>
        </w:rPr>
        <w:t>depersonalization</w:t>
      </w:r>
      <w:proofErr w:type="spellEnd"/>
      <w:r>
        <w:rPr>
          <w:rFonts w:ascii="Times New Roman" w:eastAsia="Segoe UI" w:hAnsi="Times New Roman" w:cs="Times New Roman"/>
          <w:sz w:val="24"/>
          <w:szCs w:val="24"/>
          <w:shd w:val="clear" w:color="auto" w:fill="FFFFFF"/>
          <w:lang w:eastAsia="zh-CN"/>
        </w:rPr>
        <w:t>') e a redução da eficácia profissional ('</w:t>
      </w:r>
      <w:proofErr w:type="spellStart"/>
      <w:r>
        <w:rPr>
          <w:rFonts w:ascii="Times New Roman" w:eastAsia="Segoe UI" w:hAnsi="Times New Roman" w:cs="Times New Roman"/>
          <w:sz w:val="24"/>
          <w:szCs w:val="24"/>
          <w:shd w:val="clear" w:color="auto" w:fill="FFFFFF"/>
          <w:lang w:eastAsia="zh-CN"/>
        </w:rPr>
        <w:t>reduced</w:t>
      </w:r>
      <w:proofErr w:type="spellEnd"/>
      <w:r>
        <w:rPr>
          <w:rFonts w:ascii="Times New Roman" w:eastAsia="Segoe UI" w:hAnsi="Times New Roman" w:cs="Times New Roman"/>
          <w:sz w:val="24"/>
          <w:szCs w:val="24"/>
          <w:shd w:val="clear" w:color="auto" w:fill="FFFFFF"/>
          <w:lang w:eastAsia="zh-CN"/>
        </w:rPr>
        <w:t xml:space="preserve"> professional </w:t>
      </w:r>
      <w:proofErr w:type="spellStart"/>
      <w:r>
        <w:rPr>
          <w:rFonts w:ascii="Times New Roman" w:eastAsia="Segoe UI" w:hAnsi="Times New Roman" w:cs="Times New Roman"/>
          <w:sz w:val="24"/>
          <w:szCs w:val="24"/>
          <w:shd w:val="clear" w:color="auto" w:fill="FFFFFF"/>
          <w:lang w:eastAsia="zh-CN"/>
        </w:rPr>
        <w:t>efficacy</w:t>
      </w:r>
      <w:proofErr w:type="spellEnd"/>
      <w:r>
        <w:rPr>
          <w:rFonts w:ascii="Times New Roman" w:eastAsia="Segoe UI" w:hAnsi="Times New Roman" w:cs="Times New Roman"/>
          <w:sz w:val="24"/>
          <w:szCs w:val="24"/>
          <w:shd w:val="clear" w:color="auto" w:fill="FFFFFF"/>
          <w:lang w:eastAsia="zh-CN"/>
        </w:rPr>
        <w:t>') que definem o burnout ecoam diretamente o 'cansaço de uma era' diagnosticado por Beard. A neurobiologia moderna corrobora essa intuição: a desregulação</w:t>
      </w:r>
      <w:r>
        <w:rPr>
          <w:rFonts w:ascii="Times New Roman" w:eastAsia="Segoe UI" w:hAnsi="Times New Roman" w:cs="Times New Roman"/>
          <w:b/>
          <w:bCs/>
          <w:sz w:val="24"/>
          <w:szCs w:val="24"/>
          <w:shd w:val="clear" w:color="auto" w:fill="FFFFFF"/>
          <w:lang w:eastAsia="zh-CN"/>
        </w:rPr>
        <w:t xml:space="preserve"> </w:t>
      </w:r>
      <w:r>
        <w:rPr>
          <w:rFonts w:ascii="Times New Roman" w:eastAsia="Segoe UI" w:hAnsi="Times New Roman" w:cs="Times New Roman"/>
          <w:sz w:val="24"/>
          <w:szCs w:val="24"/>
          <w:shd w:val="clear" w:color="auto" w:fill="FFFFFF"/>
          <w:lang w:eastAsia="zh-CN"/>
        </w:rPr>
        <w:t xml:space="preserve">do eixo HPA (hipotálamo-hipófise-adrenal) e a exaustão dos sistemas neuroquímicos (especialmente </w:t>
      </w:r>
      <w:proofErr w:type="spellStart"/>
      <w:r>
        <w:rPr>
          <w:rFonts w:ascii="Times New Roman" w:eastAsia="Segoe UI" w:hAnsi="Times New Roman" w:cs="Times New Roman"/>
          <w:sz w:val="24"/>
          <w:szCs w:val="24"/>
          <w:shd w:val="clear" w:color="auto" w:fill="FFFFFF"/>
          <w:lang w:eastAsia="zh-CN"/>
        </w:rPr>
        <w:t>noradrenérgico</w:t>
      </w:r>
      <w:proofErr w:type="spellEnd"/>
      <w:r>
        <w:rPr>
          <w:rFonts w:ascii="Times New Roman" w:eastAsia="Segoe UI" w:hAnsi="Times New Roman" w:cs="Times New Roman"/>
          <w:sz w:val="24"/>
          <w:szCs w:val="24"/>
          <w:shd w:val="clear" w:color="auto" w:fill="FFFFFF"/>
          <w:lang w:eastAsia="zh-CN"/>
        </w:rPr>
        <w:t xml:space="preserve">) no </w:t>
      </w:r>
      <w:r>
        <w:rPr>
          <w:rFonts w:ascii="Times New Roman" w:eastAsia="Segoe UI" w:hAnsi="Times New Roman" w:cs="Times New Roman"/>
          <w:i/>
          <w:iCs/>
          <w:sz w:val="24"/>
          <w:szCs w:val="24"/>
          <w:shd w:val="clear" w:color="auto" w:fill="FFFFFF"/>
          <w:lang w:eastAsia="zh-CN"/>
        </w:rPr>
        <w:t>burnout</w:t>
      </w:r>
      <w:r>
        <w:rPr>
          <w:rFonts w:ascii="Times New Roman" w:eastAsia="Segoe UI" w:hAnsi="Times New Roman" w:cs="Times New Roman"/>
          <w:sz w:val="24"/>
          <w:szCs w:val="24"/>
          <w:shd w:val="clear" w:color="auto" w:fill="FFFFFF"/>
          <w:lang w:eastAsia="zh-CN"/>
        </w:rPr>
        <w:t xml:space="preserve"> e em outras síndromes de estresse crônico fornecem o substrato fisiológico para a antiga 'fraqueza dos nervos'. Dessa forma, a neurastenia não foi um equívoco diagnóstico, mas a primeira cartografia de um mal-estar civilizatório que continua a nos assombrar, agora sob novas roupagens nosológicas.</w:t>
      </w:r>
    </w:p>
    <w:p w14:paraId="2C683AFC"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Essa trajetória ilustra eloquentemente como as categorias diagnósticas são produtos de seu tempo, encapsulando não apenas compreensões médicas, mas também valores sociais e visões de mundo. A história da neurastenia revela a intrincada interação entre corpo e sociedade, demonstrando como uma condição médica pode funcionar simultaneamente como fenômeno clínico e metáfora cultural.</w:t>
      </w:r>
    </w:p>
    <w:p w14:paraId="35ABAAE4" w14:textId="77777777" w:rsidR="0003312E"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15C7C266"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Quadro 8.1. A Evolução da Neurastenia: Do Diagnóstico à Epidemia Moderna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74"/>
        <w:gridCol w:w="1677"/>
        <w:gridCol w:w="3023"/>
        <w:gridCol w:w="3287"/>
      </w:tblGrid>
      <w:tr w:rsidR="0003312E" w14:paraId="11AC6F85" w14:textId="77777777">
        <w:trPr>
          <w:tblHeader/>
        </w:trPr>
        <w:tc>
          <w:tcPr>
            <w:tcW w:w="0" w:type="auto"/>
            <w:tcMar>
              <w:top w:w="150" w:type="dxa"/>
              <w:left w:w="0" w:type="dxa"/>
              <w:bottom w:w="150" w:type="dxa"/>
              <w:right w:w="240" w:type="dxa"/>
            </w:tcMar>
            <w:vAlign w:val="center"/>
          </w:tcPr>
          <w:p w14:paraId="2B79872B"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Época</w:t>
            </w:r>
          </w:p>
        </w:tc>
        <w:tc>
          <w:tcPr>
            <w:tcW w:w="1608" w:type="dxa"/>
            <w:tcMar>
              <w:top w:w="150" w:type="dxa"/>
              <w:left w:w="240" w:type="dxa"/>
              <w:bottom w:w="150" w:type="dxa"/>
              <w:right w:w="240" w:type="dxa"/>
            </w:tcMar>
            <w:vAlign w:val="center"/>
          </w:tcPr>
          <w:p w14:paraId="7043345D"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Marco</w:t>
            </w:r>
          </w:p>
        </w:tc>
        <w:tc>
          <w:tcPr>
            <w:tcW w:w="3023" w:type="dxa"/>
            <w:tcMar>
              <w:top w:w="150" w:type="dxa"/>
              <w:left w:w="240" w:type="dxa"/>
              <w:bottom w:w="150" w:type="dxa"/>
              <w:right w:w="240" w:type="dxa"/>
            </w:tcMar>
            <w:vAlign w:val="center"/>
          </w:tcPr>
          <w:p w14:paraId="5D3CD961"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Contexto Social</w:t>
            </w:r>
          </w:p>
        </w:tc>
        <w:tc>
          <w:tcPr>
            <w:tcW w:w="0" w:type="auto"/>
            <w:tcMar>
              <w:top w:w="150" w:type="dxa"/>
              <w:left w:w="240" w:type="dxa"/>
              <w:bottom w:w="150" w:type="dxa"/>
              <w:right w:w="240" w:type="dxa"/>
            </w:tcMar>
            <w:vAlign w:val="center"/>
          </w:tcPr>
          <w:p w14:paraId="026C5959"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Significado e Impacto</w:t>
            </w:r>
          </w:p>
        </w:tc>
      </w:tr>
      <w:tr w:rsidR="0003312E" w14:paraId="54DA3507" w14:textId="77777777">
        <w:tc>
          <w:tcPr>
            <w:tcW w:w="0" w:type="auto"/>
            <w:tcMar>
              <w:top w:w="150" w:type="dxa"/>
              <w:left w:w="0" w:type="dxa"/>
              <w:bottom w:w="150" w:type="dxa"/>
              <w:right w:w="240" w:type="dxa"/>
            </w:tcMar>
            <w:vAlign w:val="center"/>
          </w:tcPr>
          <w:p w14:paraId="1F3F0009"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Século XVIII – 1868</w:t>
            </w:r>
          </w:p>
        </w:tc>
        <w:tc>
          <w:tcPr>
            <w:tcW w:w="1608" w:type="dxa"/>
            <w:tcMar>
              <w:top w:w="150" w:type="dxa"/>
              <w:left w:w="240" w:type="dxa"/>
              <w:bottom w:w="150" w:type="dxa"/>
              <w:right w:w="240" w:type="dxa"/>
            </w:tcMar>
            <w:vAlign w:val="center"/>
          </w:tcPr>
          <w:p w14:paraId="4EF12505"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Pré-história do conceito</w:t>
            </w:r>
          </w:p>
        </w:tc>
        <w:tc>
          <w:tcPr>
            <w:tcW w:w="3023" w:type="dxa"/>
            <w:tcMar>
              <w:top w:w="150" w:type="dxa"/>
              <w:left w:w="240" w:type="dxa"/>
              <w:bottom w:w="150" w:type="dxa"/>
              <w:right w:w="240" w:type="dxa"/>
            </w:tcMar>
            <w:vAlign w:val="center"/>
          </w:tcPr>
          <w:p w14:paraId="14262329"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Sociedade pré-industrial com estratificação social rígida; surgimento das primeiras tensões da modernização</w:t>
            </w:r>
          </w:p>
        </w:tc>
        <w:tc>
          <w:tcPr>
            <w:tcW w:w="0" w:type="auto"/>
            <w:tcMar>
              <w:top w:w="150" w:type="dxa"/>
              <w:left w:w="240" w:type="dxa"/>
              <w:bottom w:w="150" w:type="dxa"/>
              <w:right w:w="0" w:type="dxa"/>
            </w:tcMar>
            <w:vAlign w:val="center"/>
          </w:tcPr>
          <w:p w14:paraId="161F966B"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 xml:space="preserve">Raízes em categorias como “nervosismo” e “irritabilidade espinhal”, influenciadas pelos estudos de John Brown e </w:t>
            </w:r>
            <w:proofErr w:type="spellStart"/>
            <w:r>
              <w:rPr>
                <w:rFonts w:ascii="Times New Roman" w:eastAsia="Segoe UI" w:hAnsi="Times New Roman" w:cs="Times New Roman"/>
                <w:sz w:val="20"/>
                <w:szCs w:val="20"/>
                <w:shd w:val="clear" w:color="auto" w:fill="FFFFFF"/>
                <w:lang w:eastAsia="zh-CN"/>
              </w:rPr>
              <w:t>Broussais</w:t>
            </w:r>
            <w:proofErr w:type="spellEnd"/>
            <w:r>
              <w:rPr>
                <w:rFonts w:ascii="Times New Roman" w:eastAsia="Segoe UI" w:hAnsi="Times New Roman" w:cs="Times New Roman"/>
                <w:sz w:val="20"/>
                <w:szCs w:val="20"/>
                <w:shd w:val="clear" w:color="auto" w:fill="FFFFFF"/>
                <w:lang w:eastAsia="zh-CN"/>
              </w:rPr>
              <w:t xml:space="preserve"> sobre </w:t>
            </w:r>
            <w:r>
              <w:rPr>
                <w:rFonts w:ascii="Times New Roman" w:eastAsia="Segoe UI" w:hAnsi="Times New Roman" w:cs="Times New Roman"/>
                <w:b/>
                <w:bCs/>
                <w:sz w:val="20"/>
                <w:szCs w:val="20"/>
                <w:shd w:val="clear" w:color="auto" w:fill="FFFFFF"/>
                <w:lang w:eastAsia="zh-CN"/>
              </w:rPr>
              <w:t>a irritação</w:t>
            </w:r>
            <w:r>
              <w:rPr>
                <w:rFonts w:ascii="Times New Roman" w:eastAsia="Segoe UI" w:hAnsi="Times New Roman" w:cs="Times New Roman"/>
                <w:sz w:val="20"/>
                <w:szCs w:val="20"/>
                <w:shd w:val="clear" w:color="auto" w:fill="FFFFFF"/>
                <w:lang w:eastAsia="zh-CN"/>
              </w:rPr>
              <w:t> do organismo</w:t>
            </w:r>
          </w:p>
        </w:tc>
      </w:tr>
      <w:tr w:rsidR="0003312E" w14:paraId="5B5EC70A" w14:textId="77777777">
        <w:tc>
          <w:tcPr>
            <w:tcW w:w="0" w:type="auto"/>
            <w:tcMar>
              <w:top w:w="150" w:type="dxa"/>
              <w:left w:w="0" w:type="dxa"/>
              <w:bottom w:w="150" w:type="dxa"/>
              <w:right w:w="240" w:type="dxa"/>
            </w:tcMar>
            <w:vAlign w:val="center"/>
          </w:tcPr>
          <w:p w14:paraId="5231232F"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1869</w:t>
            </w:r>
          </w:p>
        </w:tc>
        <w:tc>
          <w:tcPr>
            <w:tcW w:w="1608" w:type="dxa"/>
            <w:tcMar>
              <w:top w:w="150" w:type="dxa"/>
              <w:left w:w="240" w:type="dxa"/>
              <w:bottom w:w="150" w:type="dxa"/>
              <w:right w:w="240" w:type="dxa"/>
            </w:tcMar>
            <w:vAlign w:val="center"/>
          </w:tcPr>
          <w:p w14:paraId="421FB384"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Beard cunha “neurastenia”</w:t>
            </w:r>
          </w:p>
        </w:tc>
        <w:tc>
          <w:tcPr>
            <w:tcW w:w="3023" w:type="dxa"/>
            <w:tcMar>
              <w:top w:w="150" w:type="dxa"/>
              <w:left w:w="240" w:type="dxa"/>
              <w:bottom w:w="150" w:type="dxa"/>
              <w:right w:w="240" w:type="dxa"/>
            </w:tcMar>
            <w:vAlign w:val="center"/>
          </w:tcPr>
          <w:p w14:paraId="5536A8F1"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Apogeu da Revolução Industrial nos EUA; expansão urbana acelerada; emergência de profissões intelectuais</w:t>
            </w:r>
          </w:p>
        </w:tc>
        <w:tc>
          <w:tcPr>
            <w:tcW w:w="0" w:type="auto"/>
            <w:tcMar>
              <w:top w:w="150" w:type="dxa"/>
              <w:left w:w="240" w:type="dxa"/>
              <w:bottom w:w="150" w:type="dxa"/>
              <w:right w:w="0" w:type="dxa"/>
            </w:tcMar>
            <w:vAlign w:val="center"/>
          </w:tcPr>
          <w:p w14:paraId="2CFC0529"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Beard publica artigo seminal definindo a síndrome de esgotamento nervoso como “preço do progresso”, atribuindo-a às demandas da vida moderna</w:t>
            </w:r>
          </w:p>
        </w:tc>
      </w:tr>
      <w:tr w:rsidR="0003312E" w14:paraId="342204E8" w14:textId="77777777">
        <w:tc>
          <w:tcPr>
            <w:tcW w:w="0" w:type="auto"/>
            <w:tcMar>
              <w:top w:w="150" w:type="dxa"/>
              <w:left w:w="0" w:type="dxa"/>
              <w:bottom w:w="150" w:type="dxa"/>
              <w:right w:w="240" w:type="dxa"/>
            </w:tcMar>
            <w:vAlign w:val="center"/>
          </w:tcPr>
          <w:p w14:paraId="5E06BFF8"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Década de 1880</w:t>
            </w:r>
          </w:p>
        </w:tc>
        <w:tc>
          <w:tcPr>
            <w:tcW w:w="1608" w:type="dxa"/>
            <w:tcMar>
              <w:top w:w="150" w:type="dxa"/>
              <w:left w:w="240" w:type="dxa"/>
              <w:bottom w:w="150" w:type="dxa"/>
              <w:right w:w="240" w:type="dxa"/>
            </w:tcMar>
            <w:vAlign w:val="center"/>
          </w:tcPr>
          <w:p w14:paraId="43FF782B"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Consolidação teórica</w:t>
            </w:r>
          </w:p>
        </w:tc>
        <w:tc>
          <w:tcPr>
            <w:tcW w:w="3023" w:type="dxa"/>
            <w:tcMar>
              <w:top w:w="150" w:type="dxa"/>
              <w:left w:w="240" w:type="dxa"/>
              <w:bottom w:w="150" w:type="dxa"/>
              <w:right w:w="240" w:type="dxa"/>
            </w:tcMar>
            <w:vAlign w:val="center"/>
          </w:tcPr>
          <w:p w14:paraId="3AB1D2C0"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Intensificação da vida urbana industrial; expansão das classes médias profissionais</w:t>
            </w:r>
          </w:p>
        </w:tc>
        <w:tc>
          <w:tcPr>
            <w:tcW w:w="0" w:type="auto"/>
            <w:tcMar>
              <w:top w:w="150" w:type="dxa"/>
              <w:left w:w="240" w:type="dxa"/>
              <w:bottom w:w="150" w:type="dxa"/>
              <w:right w:w="0" w:type="dxa"/>
            </w:tcMar>
            <w:vAlign w:val="center"/>
          </w:tcPr>
          <w:p w14:paraId="52EEF461"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 xml:space="preserve">Beard publica “A </w:t>
            </w:r>
            <w:proofErr w:type="spellStart"/>
            <w:r>
              <w:rPr>
                <w:rFonts w:ascii="Times New Roman" w:eastAsia="Segoe UI" w:hAnsi="Times New Roman" w:cs="Times New Roman"/>
                <w:sz w:val="20"/>
                <w:szCs w:val="20"/>
                <w:shd w:val="clear" w:color="auto" w:fill="FFFFFF"/>
                <w:lang w:eastAsia="zh-CN"/>
              </w:rPr>
              <w:t>Practical</w:t>
            </w:r>
            <w:proofErr w:type="spellEnd"/>
            <w:r>
              <w:rPr>
                <w:rFonts w:ascii="Times New Roman" w:eastAsia="Segoe UI" w:hAnsi="Times New Roman" w:cs="Times New Roman"/>
                <w:sz w:val="20"/>
                <w:szCs w:val="20"/>
                <w:shd w:val="clear" w:color="auto" w:fill="FFFFFF"/>
                <w:lang w:eastAsia="zh-CN"/>
              </w:rPr>
              <w:t xml:space="preserve"> </w:t>
            </w:r>
            <w:proofErr w:type="spellStart"/>
            <w:r>
              <w:rPr>
                <w:rFonts w:ascii="Times New Roman" w:eastAsia="Segoe UI" w:hAnsi="Times New Roman" w:cs="Times New Roman"/>
                <w:sz w:val="20"/>
                <w:szCs w:val="20"/>
                <w:shd w:val="clear" w:color="auto" w:fill="FFFFFF"/>
                <w:lang w:eastAsia="zh-CN"/>
              </w:rPr>
              <w:t>Treatise</w:t>
            </w:r>
            <w:proofErr w:type="spellEnd"/>
            <w:r>
              <w:rPr>
                <w:rFonts w:ascii="Times New Roman" w:eastAsia="Segoe UI" w:hAnsi="Times New Roman" w:cs="Times New Roman"/>
                <w:sz w:val="20"/>
                <w:szCs w:val="20"/>
                <w:shd w:val="clear" w:color="auto" w:fill="FFFFFF"/>
                <w:lang w:eastAsia="zh-CN"/>
              </w:rPr>
              <w:t xml:space="preserve">” (1880) e “American </w:t>
            </w:r>
            <w:proofErr w:type="spellStart"/>
            <w:r>
              <w:rPr>
                <w:rFonts w:ascii="Times New Roman" w:eastAsia="Segoe UI" w:hAnsi="Times New Roman" w:cs="Times New Roman"/>
                <w:sz w:val="20"/>
                <w:szCs w:val="20"/>
                <w:shd w:val="clear" w:color="auto" w:fill="FFFFFF"/>
                <w:lang w:eastAsia="zh-CN"/>
              </w:rPr>
              <w:t>Nervousness</w:t>
            </w:r>
            <w:proofErr w:type="spellEnd"/>
            <w:r>
              <w:rPr>
                <w:rFonts w:ascii="Times New Roman" w:eastAsia="Segoe UI" w:hAnsi="Times New Roman" w:cs="Times New Roman"/>
                <w:sz w:val="20"/>
                <w:szCs w:val="20"/>
                <w:shd w:val="clear" w:color="auto" w:fill="FFFFFF"/>
                <w:lang w:eastAsia="zh-CN"/>
              </w:rPr>
              <w:t>” (1881), consolidando a etiologia e terapêutica; diagnóstico ganha status médico</w:t>
            </w:r>
          </w:p>
        </w:tc>
      </w:tr>
      <w:tr w:rsidR="0003312E" w14:paraId="4E119E3C" w14:textId="77777777">
        <w:tc>
          <w:tcPr>
            <w:tcW w:w="0" w:type="auto"/>
            <w:tcMar>
              <w:top w:w="150" w:type="dxa"/>
              <w:left w:w="0" w:type="dxa"/>
              <w:bottom w:w="150" w:type="dxa"/>
              <w:right w:w="240" w:type="dxa"/>
            </w:tcMar>
            <w:vAlign w:val="center"/>
          </w:tcPr>
          <w:p w14:paraId="1822FFB1"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lastRenderedPageBreak/>
              <w:t>Final do Século XIX</w:t>
            </w:r>
          </w:p>
        </w:tc>
        <w:tc>
          <w:tcPr>
            <w:tcW w:w="1608" w:type="dxa"/>
            <w:tcMar>
              <w:top w:w="150" w:type="dxa"/>
              <w:left w:w="240" w:type="dxa"/>
              <w:bottom w:w="150" w:type="dxa"/>
              <w:right w:w="240" w:type="dxa"/>
            </w:tcMar>
            <w:vAlign w:val="center"/>
          </w:tcPr>
          <w:p w14:paraId="11B7E0C0"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Epidemia cultural e disseminação transatlântica</w:t>
            </w:r>
          </w:p>
        </w:tc>
        <w:tc>
          <w:tcPr>
            <w:tcW w:w="3023" w:type="dxa"/>
            <w:tcMar>
              <w:top w:w="150" w:type="dxa"/>
              <w:left w:w="240" w:type="dxa"/>
              <w:bottom w:w="150" w:type="dxa"/>
              <w:right w:w="240" w:type="dxa"/>
            </w:tcMar>
            <w:vAlign w:val="center"/>
          </w:tcPr>
          <w:p w14:paraId="5635E91C"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Sociedades industriais em crise de adaptação; ansiedades sobre modernização; distinção de classe através do diagnóstico</w:t>
            </w:r>
          </w:p>
        </w:tc>
        <w:tc>
          <w:tcPr>
            <w:tcW w:w="0" w:type="auto"/>
            <w:tcMar>
              <w:top w:w="150" w:type="dxa"/>
              <w:left w:w="240" w:type="dxa"/>
              <w:bottom w:w="150" w:type="dxa"/>
              <w:right w:w="0" w:type="dxa"/>
            </w:tcMar>
            <w:vAlign w:val="center"/>
          </w:tcPr>
          <w:p w14:paraId="6D3CBC53"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 xml:space="preserve">Neurastenia torna-se “doença da moda” entre elites intelectuais; </w:t>
            </w:r>
            <w:proofErr w:type="spellStart"/>
            <w:r>
              <w:rPr>
                <w:rFonts w:ascii="Times New Roman" w:eastAsia="Segoe UI" w:hAnsi="Times New Roman" w:cs="Times New Roman"/>
                <w:sz w:val="20"/>
                <w:szCs w:val="20"/>
                <w:shd w:val="clear" w:color="auto" w:fill="FFFFFF"/>
                <w:lang w:eastAsia="zh-CN"/>
              </w:rPr>
              <w:t>Charcot</w:t>
            </w:r>
            <w:proofErr w:type="spellEnd"/>
            <w:r>
              <w:rPr>
                <w:rFonts w:ascii="Times New Roman" w:eastAsia="Segoe UI" w:hAnsi="Times New Roman" w:cs="Times New Roman"/>
                <w:sz w:val="20"/>
                <w:szCs w:val="20"/>
                <w:shd w:val="clear" w:color="auto" w:fill="FFFFFF"/>
                <w:lang w:eastAsia="zh-CN"/>
              </w:rPr>
              <w:t xml:space="preserve"> na França propõe “</w:t>
            </w:r>
            <w:proofErr w:type="spellStart"/>
            <w:r>
              <w:rPr>
                <w:rFonts w:ascii="Times New Roman" w:eastAsia="Segoe UI" w:hAnsi="Times New Roman" w:cs="Times New Roman"/>
                <w:sz w:val="20"/>
                <w:szCs w:val="20"/>
                <w:shd w:val="clear" w:color="auto" w:fill="FFFFFF"/>
                <w:lang w:eastAsia="zh-CN"/>
              </w:rPr>
              <w:t>histeroneurastenia</w:t>
            </w:r>
            <w:proofErr w:type="spellEnd"/>
            <w:r>
              <w:rPr>
                <w:rFonts w:ascii="Times New Roman" w:eastAsia="Segoe UI" w:hAnsi="Times New Roman" w:cs="Times New Roman"/>
                <w:sz w:val="20"/>
                <w:szCs w:val="20"/>
                <w:shd w:val="clear" w:color="auto" w:fill="FFFFFF"/>
                <w:lang w:eastAsia="zh-CN"/>
              </w:rPr>
              <w:t>”; diagnóstico chega ao Brasil através de médicos como Juliano Moreira</w:t>
            </w:r>
          </w:p>
        </w:tc>
      </w:tr>
      <w:tr w:rsidR="0003312E" w14:paraId="20FFF062" w14:textId="77777777">
        <w:tc>
          <w:tcPr>
            <w:tcW w:w="0" w:type="auto"/>
            <w:tcMar>
              <w:top w:w="150" w:type="dxa"/>
              <w:left w:w="0" w:type="dxa"/>
              <w:bottom w:w="150" w:type="dxa"/>
              <w:right w:w="240" w:type="dxa"/>
            </w:tcMar>
            <w:vAlign w:val="center"/>
          </w:tcPr>
          <w:p w14:paraId="14F034CC"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1900-1920</w:t>
            </w:r>
          </w:p>
        </w:tc>
        <w:tc>
          <w:tcPr>
            <w:tcW w:w="1608" w:type="dxa"/>
            <w:tcMar>
              <w:top w:w="150" w:type="dxa"/>
              <w:left w:w="240" w:type="dxa"/>
              <w:bottom w:w="150" w:type="dxa"/>
              <w:right w:w="240" w:type="dxa"/>
            </w:tcMar>
            <w:vAlign w:val="center"/>
          </w:tcPr>
          <w:p w14:paraId="5E263725"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Popularização e medicalização</w:t>
            </w:r>
          </w:p>
        </w:tc>
        <w:tc>
          <w:tcPr>
            <w:tcW w:w="3023" w:type="dxa"/>
            <w:tcMar>
              <w:top w:w="150" w:type="dxa"/>
              <w:left w:w="240" w:type="dxa"/>
              <w:bottom w:w="150" w:type="dxa"/>
              <w:right w:w="240" w:type="dxa"/>
            </w:tcMar>
            <w:vAlign w:val="center"/>
          </w:tcPr>
          <w:p w14:paraId="7B1E79C1"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Expansão para classes trabalhadoras; crescente medicalização da vida social</w:t>
            </w:r>
          </w:p>
        </w:tc>
        <w:tc>
          <w:tcPr>
            <w:tcW w:w="0" w:type="auto"/>
            <w:tcMar>
              <w:top w:w="150" w:type="dxa"/>
              <w:left w:w="240" w:type="dxa"/>
              <w:bottom w:w="150" w:type="dxa"/>
              <w:right w:w="0" w:type="dxa"/>
            </w:tcMar>
            <w:vAlign w:val="center"/>
          </w:tcPr>
          <w:p w14:paraId="5B31CFDB"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Diagnóstico atinge operários e fazendeiros; tratamentos como o “</w:t>
            </w:r>
            <w:proofErr w:type="spellStart"/>
            <w:r>
              <w:rPr>
                <w:rFonts w:ascii="Times New Roman" w:eastAsia="Segoe UI" w:hAnsi="Times New Roman" w:cs="Times New Roman"/>
                <w:sz w:val="20"/>
                <w:szCs w:val="20"/>
                <w:shd w:val="clear" w:color="auto" w:fill="FFFFFF"/>
                <w:lang w:eastAsia="zh-CN"/>
              </w:rPr>
              <w:t>rest</w:t>
            </w:r>
            <w:proofErr w:type="spellEnd"/>
            <w:r>
              <w:rPr>
                <w:rFonts w:ascii="Times New Roman" w:eastAsia="Segoe UI" w:hAnsi="Times New Roman" w:cs="Times New Roman"/>
                <w:sz w:val="20"/>
                <w:szCs w:val="20"/>
                <w:shd w:val="clear" w:color="auto" w:fill="FFFFFF"/>
                <w:lang w:eastAsia="zh-CN"/>
              </w:rPr>
              <w:t xml:space="preserve"> cure” de Mitchell aplicados diferencialmente por gênero e classe</w:t>
            </w:r>
          </w:p>
        </w:tc>
      </w:tr>
      <w:tr w:rsidR="0003312E" w14:paraId="40C27AFB" w14:textId="77777777">
        <w:tc>
          <w:tcPr>
            <w:tcW w:w="0" w:type="auto"/>
            <w:tcMar>
              <w:top w:w="150" w:type="dxa"/>
              <w:left w:w="0" w:type="dxa"/>
              <w:bottom w:w="150" w:type="dxa"/>
              <w:right w:w="240" w:type="dxa"/>
            </w:tcMar>
            <w:vAlign w:val="center"/>
          </w:tcPr>
          <w:p w14:paraId="15B5A1B1"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Décadas de 1920-1960</w:t>
            </w:r>
          </w:p>
        </w:tc>
        <w:tc>
          <w:tcPr>
            <w:tcW w:w="1608" w:type="dxa"/>
            <w:tcMar>
              <w:top w:w="150" w:type="dxa"/>
              <w:left w:w="240" w:type="dxa"/>
              <w:bottom w:w="150" w:type="dxa"/>
              <w:right w:w="240" w:type="dxa"/>
            </w:tcMar>
            <w:vAlign w:val="center"/>
          </w:tcPr>
          <w:p w14:paraId="7408BEB7"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Declínio diagnóstico no Ocidente</w:t>
            </w:r>
          </w:p>
        </w:tc>
        <w:tc>
          <w:tcPr>
            <w:tcW w:w="3023" w:type="dxa"/>
            <w:tcMar>
              <w:top w:w="150" w:type="dxa"/>
              <w:left w:w="240" w:type="dxa"/>
              <w:bottom w:w="150" w:type="dxa"/>
              <w:right w:w="240" w:type="dxa"/>
            </w:tcMar>
            <w:vAlign w:val="center"/>
          </w:tcPr>
          <w:p w14:paraId="0E897442"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Ascensão da psicanálise; nova nosologia psiquiátrica; ceticismo médico</w:t>
            </w:r>
          </w:p>
        </w:tc>
        <w:tc>
          <w:tcPr>
            <w:tcW w:w="0" w:type="auto"/>
            <w:tcMar>
              <w:top w:w="150" w:type="dxa"/>
              <w:left w:w="240" w:type="dxa"/>
              <w:bottom w:w="150" w:type="dxa"/>
              <w:right w:w="0" w:type="dxa"/>
            </w:tcMar>
            <w:vAlign w:val="center"/>
          </w:tcPr>
          <w:p w14:paraId="4A3DD288"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Freud e Janet reinterpretam sintomas como psíquicos; categoria é substituída por “neurose de ansiedade” e “psicastenia”; manejo transfere-se do neurologista para o psiquiatra</w:t>
            </w:r>
          </w:p>
        </w:tc>
      </w:tr>
      <w:tr w:rsidR="0003312E" w14:paraId="7C66A604" w14:textId="77777777">
        <w:tc>
          <w:tcPr>
            <w:tcW w:w="0" w:type="auto"/>
            <w:tcMar>
              <w:top w:w="150" w:type="dxa"/>
              <w:left w:w="0" w:type="dxa"/>
              <w:bottom w:w="150" w:type="dxa"/>
              <w:right w:w="240" w:type="dxa"/>
            </w:tcMar>
            <w:vAlign w:val="center"/>
          </w:tcPr>
          <w:p w14:paraId="7FF4C546"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1970-2000</w:t>
            </w:r>
          </w:p>
        </w:tc>
        <w:tc>
          <w:tcPr>
            <w:tcW w:w="1608" w:type="dxa"/>
            <w:tcMar>
              <w:top w:w="150" w:type="dxa"/>
              <w:left w:w="240" w:type="dxa"/>
              <w:bottom w:w="150" w:type="dxa"/>
              <w:right w:w="240" w:type="dxa"/>
            </w:tcMar>
            <w:vAlign w:val="center"/>
          </w:tcPr>
          <w:p w14:paraId="6C410351"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Divergências nosológicas</w:t>
            </w:r>
          </w:p>
        </w:tc>
        <w:tc>
          <w:tcPr>
            <w:tcW w:w="3023" w:type="dxa"/>
            <w:tcMar>
              <w:top w:w="150" w:type="dxa"/>
              <w:left w:w="240" w:type="dxa"/>
              <w:bottom w:w="150" w:type="dxa"/>
              <w:right w:w="240" w:type="dxa"/>
            </w:tcMar>
            <w:vAlign w:val="center"/>
          </w:tcPr>
          <w:p w14:paraId="1529220E"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Globalização da psiquiatria; debates culturais sobre doença mental</w:t>
            </w:r>
          </w:p>
        </w:tc>
        <w:tc>
          <w:tcPr>
            <w:tcW w:w="0" w:type="auto"/>
            <w:tcMar>
              <w:top w:w="150" w:type="dxa"/>
              <w:left w:w="240" w:type="dxa"/>
              <w:bottom w:w="150" w:type="dxa"/>
              <w:right w:w="0" w:type="dxa"/>
            </w:tcMar>
            <w:vAlign w:val="center"/>
          </w:tcPr>
          <w:p w14:paraId="660C2EA7"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 xml:space="preserve">Neurastenia permanece no </w:t>
            </w:r>
            <w:proofErr w:type="gramStart"/>
            <w:r>
              <w:rPr>
                <w:rFonts w:ascii="Times New Roman" w:eastAsia="Segoe UI" w:hAnsi="Times New Roman" w:cs="Times New Roman"/>
                <w:sz w:val="20"/>
                <w:szCs w:val="20"/>
                <w:shd w:val="clear" w:color="auto" w:fill="FFFFFF"/>
                <w:lang w:eastAsia="zh-CN"/>
              </w:rPr>
              <w:t>CID</w:t>
            </w:r>
            <w:proofErr w:type="gramEnd"/>
            <w:r>
              <w:rPr>
                <w:rFonts w:ascii="Times New Roman" w:eastAsia="Segoe UI" w:hAnsi="Times New Roman" w:cs="Times New Roman"/>
                <w:sz w:val="20"/>
                <w:szCs w:val="20"/>
                <w:shd w:val="clear" w:color="auto" w:fill="FFFFFF"/>
                <w:lang w:eastAsia="zh-CN"/>
              </w:rPr>
              <w:t xml:space="preserve"> mas é removida do DSM, refletindo divergências entre abordagens médicas internacionais; mantém vitalidade na China como “</w:t>
            </w:r>
            <w:proofErr w:type="spellStart"/>
            <w:r>
              <w:rPr>
                <w:rFonts w:ascii="Times New Roman" w:eastAsia="Segoe UI" w:hAnsi="Times New Roman" w:cs="Times New Roman"/>
                <w:sz w:val="20"/>
                <w:szCs w:val="20"/>
                <w:shd w:val="clear" w:color="auto" w:fill="FFFFFF"/>
                <w:lang w:eastAsia="zh-CN"/>
              </w:rPr>
              <w:t>shenjing</w:t>
            </w:r>
            <w:proofErr w:type="spellEnd"/>
            <w:r>
              <w:rPr>
                <w:rFonts w:ascii="Times New Roman" w:eastAsia="Segoe UI" w:hAnsi="Times New Roman" w:cs="Times New Roman"/>
                <w:sz w:val="20"/>
                <w:szCs w:val="20"/>
                <w:shd w:val="clear" w:color="auto" w:fill="FFFFFF"/>
                <w:lang w:eastAsia="zh-CN"/>
              </w:rPr>
              <w:t xml:space="preserve"> </w:t>
            </w:r>
            <w:proofErr w:type="spellStart"/>
            <w:r>
              <w:rPr>
                <w:rFonts w:ascii="Times New Roman" w:eastAsia="Segoe UI" w:hAnsi="Times New Roman" w:cs="Times New Roman"/>
                <w:sz w:val="20"/>
                <w:szCs w:val="20"/>
                <w:shd w:val="clear" w:color="auto" w:fill="FFFFFF"/>
                <w:lang w:eastAsia="zh-CN"/>
              </w:rPr>
              <w:t>shuairuo</w:t>
            </w:r>
            <w:proofErr w:type="spellEnd"/>
            <w:r>
              <w:rPr>
                <w:rFonts w:ascii="Times New Roman" w:eastAsia="Segoe UI" w:hAnsi="Times New Roman" w:cs="Times New Roman"/>
                <w:sz w:val="20"/>
                <w:szCs w:val="20"/>
                <w:shd w:val="clear" w:color="auto" w:fill="FFFFFF"/>
                <w:lang w:eastAsia="zh-CN"/>
              </w:rPr>
              <w:t>”</w:t>
            </w:r>
          </w:p>
        </w:tc>
      </w:tr>
      <w:tr w:rsidR="0003312E" w14:paraId="3B352D31" w14:textId="77777777">
        <w:tc>
          <w:tcPr>
            <w:tcW w:w="0" w:type="auto"/>
            <w:tcMar>
              <w:top w:w="150" w:type="dxa"/>
              <w:left w:w="0" w:type="dxa"/>
              <w:bottom w:w="150" w:type="dxa"/>
              <w:right w:w="240" w:type="dxa"/>
            </w:tcMar>
            <w:vAlign w:val="center"/>
          </w:tcPr>
          <w:p w14:paraId="08FBD022" w14:textId="77777777" w:rsidR="0003312E" w:rsidRDefault="00000000">
            <w:pPr>
              <w:spacing w:after="0" w:line="240" w:lineRule="auto"/>
              <w:rPr>
                <w:rFonts w:ascii="Times New Roman" w:eastAsia="Segoe UI" w:hAnsi="Times New Roman" w:cs="Times New Roman"/>
                <w:b/>
                <w:bCs/>
                <w:sz w:val="20"/>
                <w:szCs w:val="20"/>
                <w:shd w:val="clear" w:color="auto" w:fill="FFFFFF"/>
                <w:lang w:eastAsia="zh-CN"/>
              </w:rPr>
            </w:pPr>
            <w:r>
              <w:rPr>
                <w:rFonts w:ascii="Times New Roman" w:eastAsia="Segoe UI" w:hAnsi="Times New Roman" w:cs="Times New Roman"/>
                <w:b/>
                <w:bCs/>
                <w:sz w:val="20"/>
                <w:szCs w:val="20"/>
                <w:shd w:val="clear" w:color="auto" w:fill="FFFFFF"/>
                <w:lang w:eastAsia="zh-CN"/>
              </w:rPr>
              <w:t>Século XXI</w:t>
            </w:r>
          </w:p>
        </w:tc>
        <w:tc>
          <w:tcPr>
            <w:tcW w:w="1608" w:type="dxa"/>
            <w:tcMar>
              <w:top w:w="150" w:type="dxa"/>
              <w:left w:w="240" w:type="dxa"/>
              <w:bottom w:w="150" w:type="dxa"/>
              <w:right w:w="240" w:type="dxa"/>
            </w:tcMar>
            <w:vAlign w:val="center"/>
          </w:tcPr>
          <w:p w14:paraId="3F6C5263"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Ressurgimento conceitual</w:t>
            </w:r>
          </w:p>
        </w:tc>
        <w:tc>
          <w:tcPr>
            <w:tcW w:w="3023" w:type="dxa"/>
            <w:tcMar>
              <w:top w:w="150" w:type="dxa"/>
              <w:left w:w="240" w:type="dxa"/>
              <w:bottom w:w="150" w:type="dxa"/>
              <w:right w:w="240" w:type="dxa"/>
            </w:tcMar>
            <w:vAlign w:val="center"/>
          </w:tcPr>
          <w:p w14:paraId="39A175FC"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 xml:space="preserve">Sociedade pós-industrial </w:t>
            </w:r>
            <w:proofErr w:type="spellStart"/>
            <w:r>
              <w:rPr>
                <w:rFonts w:ascii="Times New Roman" w:eastAsia="Segoe UI" w:hAnsi="Times New Roman" w:cs="Times New Roman"/>
                <w:sz w:val="20"/>
                <w:szCs w:val="20"/>
                <w:shd w:val="clear" w:color="auto" w:fill="FFFFFF"/>
                <w:lang w:eastAsia="zh-CN"/>
              </w:rPr>
              <w:t>hiperconectada</w:t>
            </w:r>
            <w:proofErr w:type="spellEnd"/>
            <w:r>
              <w:rPr>
                <w:rFonts w:ascii="Times New Roman" w:eastAsia="Segoe UI" w:hAnsi="Times New Roman" w:cs="Times New Roman"/>
                <w:sz w:val="20"/>
                <w:szCs w:val="20"/>
                <w:shd w:val="clear" w:color="auto" w:fill="FFFFFF"/>
                <w:lang w:eastAsia="zh-CN"/>
              </w:rPr>
              <w:t>; crise do burnout; medicalização do estresse</w:t>
            </w:r>
          </w:p>
        </w:tc>
        <w:tc>
          <w:tcPr>
            <w:tcW w:w="0" w:type="auto"/>
            <w:tcMar>
              <w:top w:w="150" w:type="dxa"/>
              <w:left w:w="240" w:type="dxa"/>
              <w:bottom w:w="150" w:type="dxa"/>
              <w:right w:w="0" w:type="dxa"/>
            </w:tcMar>
            <w:vAlign w:val="center"/>
          </w:tcPr>
          <w:p w14:paraId="02380C1C" w14:textId="77777777" w:rsidR="0003312E" w:rsidRDefault="00000000">
            <w:pPr>
              <w:spacing w:after="0" w:line="240" w:lineRule="auto"/>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Sintomas ressurgem em diagnósticos como síndrome de burnout e fadiga crônica; hiperconectividade digital revive metaforicamente a “sobrecarga nervosa” do século XIX</w:t>
            </w:r>
          </w:p>
        </w:tc>
      </w:tr>
    </w:tbl>
    <w:p w14:paraId="0213924A" w14:textId="77777777" w:rsidR="0003312E"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43DFD110"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Em Essência: as Quatro Dimensões da Neurastenia</w:t>
      </w:r>
    </w:p>
    <w:p w14:paraId="7C6424C8"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1. A Dimensão Etimológica: A Fraqueza dos Nervos</w:t>
      </w:r>
    </w:p>
    <w:p w14:paraId="28E418EC"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 xml:space="preserve">A genialidade de Beard residia na simplicidade de seu neologismo. Ao combinar </w:t>
      </w:r>
      <w:proofErr w:type="spellStart"/>
      <w:r>
        <w:rPr>
          <w:rFonts w:ascii="Times New Roman" w:eastAsia="Segoe UI" w:hAnsi="Times New Roman" w:cs="Times New Roman"/>
          <w:sz w:val="24"/>
          <w:szCs w:val="24"/>
          <w:shd w:val="clear" w:color="auto" w:fill="FFFFFF"/>
          <w:lang w:eastAsia="zh-CN"/>
        </w:rPr>
        <w:t>neûron</w:t>
      </w:r>
      <w:proofErr w:type="spellEnd"/>
      <w:r>
        <w:rPr>
          <w:rFonts w:ascii="Times New Roman" w:eastAsia="Segoe UI" w:hAnsi="Times New Roman" w:cs="Times New Roman"/>
          <w:sz w:val="24"/>
          <w:szCs w:val="24"/>
          <w:shd w:val="clear" w:color="auto" w:fill="FFFFFF"/>
          <w:lang w:eastAsia="zh-CN"/>
        </w:rPr>
        <w:t xml:space="preserve"> (nervo) e </w:t>
      </w:r>
      <w:proofErr w:type="spellStart"/>
      <w:r>
        <w:rPr>
          <w:rFonts w:ascii="Times New Roman" w:eastAsia="Segoe UI" w:hAnsi="Times New Roman" w:cs="Times New Roman"/>
          <w:sz w:val="24"/>
          <w:szCs w:val="24"/>
          <w:shd w:val="clear" w:color="auto" w:fill="FFFFFF"/>
          <w:lang w:eastAsia="zh-CN"/>
        </w:rPr>
        <w:t>asthéneia</w:t>
      </w:r>
      <w:proofErr w:type="spellEnd"/>
      <w:r>
        <w:rPr>
          <w:rFonts w:ascii="Times New Roman" w:eastAsia="Segoe UI" w:hAnsi="Times New Roman" w:cs="Times New Roman"/>
          <w:sz w:val="24"/>
          <w:szCs w:val="24"/>
          <w:shd w:val="clear" w:color="auto" w:fill="FFFFFF"/>
          <w:lang w:eastAsia="zh-CN"/>
        </w:rPr>
        <w:t xml:space="preserve"> (fraqueza), criou um termo que soava científico, mas que, na realidade, nomeava uma experiência subjetiva: o esgotamento difuso de uma era acelerada. Esta etimologia capturava perfeitamente a sensação que muitos sentiam, mas não conseguiam explicar: a percepção de que a energia vital estava gasta e exaurida. Ao </w:t>
      </w:r>
      <w:proofErr w:type="spellStart"/>
      <w:r>
        <w:rPr>
          <w:rFonts w:ascii="Times New Roman" w:eastAsia="Segoe UI" w:hAnsi="Times New Roman" w:cs="Times New Roman"/>
          <w:sz w:val="24"/>
          <w:szCs w:val="24"/>
          <w:shd w:val="clear" w:color="auto" w:fill="FFFFFF"/>
          <w:lang w:eastAsia="zh-CN"/>
        </w:rPr>
        <w:t>medicalizar</w:t>
      </w:r>
      <w:proofErr w:type="spellEnd"/>
      <w:r>
        <w:rPr>
          <w:rFonts w:ascii="Times New Roman" w:eastAsia="Segoe UI" w:hAnsi="Times New Roman" w:cs="Times New Roman"/>
          <w:sz w:val="24"/>
          <w:szCs w:val="24"/>
          <w:shd w:val="clear" w:color="auto" w:fill="FFFFFF"/>
          <w:lang w:eastAsia="zh-CN"/>
        </w:rPr>
        <w:t xml:space="preserve"> um mal-estar cultural, Beard traduziu em palavras o que seria uma característica definidora da modernidade - a sensação de estar sobrecarregado pelo próprio progresso.</w:t>
      </w:r>
    </w:p>
    <w:p w14:paraId="519CF0C6" w14:textId="77777777" w:rsidR="0003312E"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0CCDAA02"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2. A Dimensão Histórico-Clínica: A Doença da Civilização</w:t>
      </w:r>
    </w:p>
    <w:p w14:paraId="48FFCC8B"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 xml:space="preserve">A neurastenia não se comportava como uma doença comum; era o diagnóstico de uma era inteira. Beard identificou as causas do que chamava de "esgotamento da força nervosa" nas </w:t>
      </w:r>
      <w:r>
        <w:rPr>
          <w:rFonts w:ascii="Times New Roman" w:eastAsia="Segoe UI" w:hAnsi="Times New Roman" w:cs="Times New Roman"/>
          <w:sz w:val="24"/>
          <w:szCs w:val="24"/>
          <w:shd w:val="clear" w:color="auto" w:fill="FFFFFF"/>
          <w:lang w:eastAsia="zh-CN"/>
        </w:rPr>
        <w:lastRenderedPageBreak/>
        <w:t xml:space="preserve">próprias conquistas da civilização industrial: locomotivas, telégrafos, jornais e a agitação das cidades. Pela primeira vez, um médico propunha que o ambiente </w:t>
      </w:r>
      <w:proofErr w:type="spellStart"/>
      <w:r>
        <w:rPr>
          <w:rFonts w:ascii="Times New Roman" w:eastAsia="Segoe UI" w:hAnsi="Times New Roman" w:cs="Times New Roman"/>
          <w:sz w:val="24"/>
          <w:szCs w:val="24"/>
          <w:shd w:val="clear" w:color="auto" w:fill="FFFFFF"/>
          <w:lang w:eastAsia="zh-CN"/>
        </w:rPr>
        <w:t>sociotecnológico</w:t>
      </w:r>
      <w:proofErr w:type="spellEnd"/>
      <w:r>
        <w:rPr>
          <w:rFonts w:ascii="Times New Roman" w:eastAsia="Segoe UI" w:hAnsi="Times New Roman" w:cs="Times New Roman"/>
          <w:sz w:val="24"/>
          <w:szCs w:val="24"/>
          <w:shd w:val="clear" w:color="auto" w:fill="FFFFFF"/>
          <w:lang w:eastAsia="zh-CN"/>
        </w:rPr>
        <w:t xml:space="preserve"> podia causar doença, estabelecendo uma conexão direta entre progresso e esgotamento humano. Esta concepção transformou a neurastenia tanto em sintoma de status (afetando principalmente aqueles que participavam ativamente da vida moderna) quanto em crítica social implícita ao custo humano da industrialização.</w:t>
      </w:r>
    </w:p>
    <w:p w14:paraId="1856C4B8" w14:textId="77777777" w:rsidR="0003312E"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53C5809D"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3. A Dimensão Neurocientífica: A Fisiologia do Esgotamento</w:t>
      </w:r>
    </w:p>
    <w:p w14:paraId="5AE3E299"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Embora o termo "neurastenia" tenha caído em desuso médico, a neurociência contemporânea oferece explicações para os fenômenos que Beard descreveu. O que ele chamava de "fraqueza nervosa" encontra paralelo na disfunção do eixo hipotálamo-hipófise-adrenal (HPA) sob carga crônica e em alterações em redes cerebrais específicas. O estresse prolongado mantém níveis elevados de cortisol, que se tornam tóxicos ao longo do tempo, podendo levar a atrofia em áreas como o hipocampo (relacionado à memória) e hiperatividade na amígdala (centro do medo), além de afetar neurotransmissores como serotonina e dopamina. Assim, a intuição de Beard sobre um "esgotamento da energia nervosa" antecipou descobertas neurocientíficas que mostram que a sobrecarga crônica altera a estrutura e a conectividade cerebral de forma mensurável.</w:t>
      </w:r>
    </w:p>
    <w:p w14:paraId="7378E012" w14:textId="77777777" w:rsidR="0003312E"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7F39003B"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4. A Dimensão Poético-Filosófica: O Preço do Progresso</w:t>
      </w:r>
    </w:p>
    <w:p w14:paraId="48CAD4A3"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Para além da medicina, a neurastenia funciona como uma metáfora poderosa do mal-estar da modernidade. Beard não descrevia apenas uma síndrome médica; captava o espírito de sua época. A neurastenia representava o paradoxo fundamental do progresso: mais conforto, mais conhecimento, mais conexão, mas à custa da paz interior e da energia vital. Seu legado persiste em diagnósticos contemporâneos como burnout e síndrome da fadiga crônica, lembrando-nos que a relação entre avanço tecnológico e bem-estar humano continua sendo uma questão central de nosso tempo. A neurastenia nos alerta que a saúde mental não é apenas uma questão individual, mas ecológica e cultural, dependente de como nos relacionamos com a tecnologia, o trabalho e o ritmo de vida.</w:t>
      </w:r>
    </w:p>
    <w:p w14:paraId="284C5F23" w14:textId="77777777" w:rsidR="0003312E"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14EA871A"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Próximo: Ansiedade - O Aperto que Molda a Existência</w:t>
      </w:r>
    </w:p>
    <w:p w14:paraId="044DAB91" w14:textId="77777777" w:rsidR="0003312E" w:rsidRDefault="00000000">
      <w:pPr>
        <w:spacing w:after="0" w:line="360" w:lineRule="auto"/>
        <w:ind w:firstLine="709"/>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4"/>
          <w:szCs w:val="24"/>
          <w:shd w:val="clear" w:color="auto" w:fill="FFFFFF"/>
          <w:lang w:eastAsia="zh-CN"/>
        </w:rPr>
        <w:t xml:space="preserve">Se a neurastenia representou o esgotamento físico e mental de uma era acelerada – um tempo em que os nervos, sobrecarregados pelo ritmo vertiginoso da modernidade, clamavam por repouso – a ansiedade nos conduz a um território ainda mais íntimo e universal: o aperto </w:t>
      </w:r>
      <w:r>
        <w:rPr>
          <w:rFonts w:ascii="Times New Roman" w:eastAsia="Segoe UI" w:hAnsi="Times New Roman" w:cs="Times New Roman"/>
          <w:sz w:val="24"/>
          <w:szCs w:val="24"/>
          <w:shd w:val="clear" w:color="auto" w:fill="FFFFFF"/>
          <w:lang w:eastAsia="zh-CN"/>
        </w:rPr>
        <w:lastRenderedPageBreak/>
        <w:t>existencial que molda a própria consciência humana. Enquanto a neurastenia era essencialmente o cansaço dos nervos, um colapso temporário da energia vital, a ansiedade se revela mais profunda e persistente: é a vertigem da liberdade, o medo diante do abismo das possibilidades, a tensão constante entre o finito e o infinito. Como sabiamente observou Kierkegaard, não se trata de um mero desvio patológico, mas da própria condição fundamental da existência. É assim que nossa jornada nos leva do esgotamento físico à angústia metafísica, explorando como esse aperto interno – ao mesmo tempo sufocante e impulsionador – define nossa relação mais essencial com o mundo e conosco mesmos, revelando que a ansiedade pode ser muito mais do que um estado a ser superado, mas sim a força paradoxal que nos torna profundamente humanos.</w:t>
      </w:r>
    </w:p>
    <w:p w14:paraId="32BB9937" w14:textId="77777777" w:rsidR="0003312E" w:rsidRDefault="0003312E">
      <w:pPr>
        <w:shd w:val="clear" w:color="auto" w:fill="FFFFFF"/>
        <w:spacing w:after="0" w:line="360" w:lineRule="auto"/>
        <w:ind w:firstLine="709"/>
        <w:jc w:val="both"/>
        <w:rPr>
          <w:rFonts w:ascii="Times New Roman" w:eastAsia="Times New Roman" w:hAnsi="Times New Roman" w:cs="Times New Roman"/>
          <w:color w:val="0F1115"/>
          <w:kern w:val="0"/>
          <w:sz w:val="24"/>
          <w:szCs w:val="24"/>
          <w:lang w:eastAsia="pt-BR"/>
          <w14:ligatures w14:val="none"/>
        </w:rPr>
      </w:pPr>
    </w:p>
    <w:p w14:paraId="61F1AE04" w14:textId="77777777" w:rsidR="0003312E" w:rsidRDefault="00000000">
      <w:pPr>
        <w:pStyle w:val="PargrafodaLista"/>
        <w:numPr>
          <w:ilvl w:val="0"/>
          <w:numId w:val="3"/>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br w:type="page"/>
      </w:r>
    </w:p>
    <w:tbl>
      <w:tblPr>
        <w:tblStyle w:val="Tabelacomgrade"/>
        <w:tblW w:w="850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Look w:val="04A0" w:firstRow="1" w:lastRow="0" w:firstColumn="1" w:lastColumn="0" w:noHBand="0" w:noVBand="1"/>
      </w:tblPr>
      <w:tblGrid>
        <w:gridCol w:w="4353"/>
        <w:gridCol w:w="4152"/>
      </w:tblGrid>
      <w:tr w:rsidR="0003312E" w14:paraId="1840E603" w14:textId="77777777">
        <w:trPr>
          <w:trHeight w:val="284"/>
        </w:trPr>
        <w:tc>
          <w:tcPr>
            <w:tcW w:w="8505" w:type="dxa"/>
            <w:gridSpan w:val="2"/>
            <w:tcBorders>
              <w:top w:val="nil"/>
              <w:left w:val="nil"/>
              <w:bottom w:val="nil"/>
              <w:right w:val="nil"/>
            </w:tcBorders>
          </w:tcPr>
          <w:p w14:paraId="0FADC3E5" w14:textId="77777777" w:rsidR="0003312E" w:rsidRDefault="00000000">
            <w:pPr>
              <w:pStyle w:val="Ttulo1"/>
              <w:keepNext w:val="0"/>
              <w:keepLines w:val="0"/>
              <w:spacing w:before="0" w:after="0" w:line="240" w:lineRule="auto"/>
              <w:rPr>
                <w:rFonts w:ascii="Times New Roman" w:eastAsia="SimSun" w:hAnsi="Times New Roman" w:cs="Times New Roman"/>
                <w:b/>
                <w:bCs/>
                <w:color w:val="auto"/>
                <w:sz w:val="24"/>
                <w:szCs w:val="24"/>
              </w:rPr>
            </w:pPr>
            <w:r>
              <w:rPr>
                <w:rFonts w:ascii="Times New Roman" w:hAnsi="Times New Roman" w:cs="Times New Roman"/>
                <w:b/>
                <w:bCs/>
                <w:color w:val="auto"/>
                <w:sz w:val="24"/>
                <w:szCs w:val="24"/>
              </w:rPr>
              <w:lastRenderedPageBreak/>
              <w:t xml:space="preserve">Capítulo </w:t>
            </w:r>
            <w:proofErr w:type="gramStart"/>
            <w:r>
              <w:rPr>
                <w:rFonts w:ascii="Times New Roman" w:hAnsi="Times New Roman" w:cs="Times New Roman"/>
                <w:b/>
                <w:bCs/>
                <w:color w:val="auto"/>
                <w:sz w:val="24"/>
                <w:szCs w:val="24"/>
              </w:rPr>
              <w:t>9  -</w:t>
            </w:r>
            <w:proofErr w:type="gramEnd"/>
            <w:r>
              <w:rPr>
                <w:rFonts w:ascii="Times New Roman" w:hAnsi="Times New Roman" w:cs="Times New Roman"/>
                <w:b/>
                <w:bCs/>
                <w:color w:val="auto"/>
                <w:sz w:val="24"/>
                <w:szCs w:val="24"/>
              </w:rPr>
              <w:t xml:space="preserve">  Ansiedade: Do Aperto Existencial ao Diagnóstico Clínico</w:t>
            </w:r>
          </w:p>
        </w:tc>
      </w:tr>
      <w:tr w:rsidR="0003312E" w14:paraId="542359EC" w14:textId="77777777">
        <w:trPr>
          <w:trHeight w:val="3030"/>
        </w:trPr>
        <w:tc>
          <w:tcPr>
            <w:tcW w:w="4353" w:type="dxa"/>
            <w:tcBorders>
              <w:top w:val="nil"/>
              <w:left w:val="nil"/>
              <w:bottom w:val="nil"/>
              <w:right w:val="nil"/>
            </w:tcBorders>
          </w:tcPr>
          <w:p w14:paraId="0CC4AEF3" w14:textId="77777777" w:rsidR="0003312E" w:rsidRDefault="00000000">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noProof/>
                <w:sz w:val="24"/>
                <w:szCs w:val="24"/>
              </w:rPr>
              <w:drawing>
                <wp:inline distT="0" distB="0" distL="114300" distR="114300" wp14:anchorId="1156A34E" wp14:editId="43C3B1E4">
                  <wp:extent cx="2092960" cy="2039620"/>
                  <wp:effectExtent l="0" t="0" r="2540" b="0"/>
                  <wp:docPr id="2" name="Imagem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2" descr="IMG_256"/>
                          <pic:cNvPicPr>
                            <a:picLocks noChangeAspect="1"/>
                          </pic:cNvPicPr>
                        </pic:nvPicPr>
                        <pic:blipFill>
                          <a:blip r:embed="rId29">
                            <a:biLevel thresh="25000"/>
                          </a:blip>
                          <a:stretch>
                            <a:fillRect/>
                          </a:stretch>
                        </pic:blipFill>
                        <pic:spPr>
                          <a:xfrm>
                            <a:off x="0" y="0"/>
                            <a:ext cx="2092960" cy="2039620"/>
                          </a:xfrm>
                          <a:prstGeom prst="rect">
                            <a:avLst/>
                          </a:prstGeom>
                          <a:noFill/>
                          <a:ln w="9525">
                            <a:noFill/>
                          </a:ln>
                        </pic:spPr>
                      </pic:pic>
                    </a:graphicData>
                  </a:graphic>
                </wp:inline>
              </w:drawing>
            </w:r>
          </w:p>
        </w:tc>
        <w:tc>
          <w:tcPr>
            <w:tcW w:w="4152" w:type="dxa"/>
            <w:tcBorders>
              <w:top w:val="nil"/>
              <w:left w:val="nil"/>
              <w:bottom w:val="nil"/>
              <w:right w:val="nil"/>
            </w:tcBorders>
          </w:tcPr>
          <w:p w14:paraId="70785A0B" w14:textId="77777777" w:rsidR="0003312E" w:rsidRDefault="00000000">
            <w:pPr>
              <w:spacing w:after="0" w:line="240" w:lineRule="auto"/>
              <w:jc w:val="center"/>
              <w:rPr>
                <w:rStyle w:val="Forte"/>
                <w:rFonts w:ascii="Times New Roman" w:eastAsia="Garamond" w:hAnsi="Times New Roman" w:cs="Times New Roman"/>
                <w:b w:val="0"/>
                <w:bCs w:val="0"/>
                <w:sz w:val="24"/>
                <w:szCs w:val="24"/>
              </w:rPr>
            </w:pPr>
            <w:r>
              <w:rPr>
                <w:rFonts w:ascii="Times New Roman" w:eastAsia="SimSun" w:hAnsi="Times New Roman" w:cs="Times New Roman"/>
                <w:noProof/>
                <w:sz w:val="24"/>
                <w:szCs w:val="24"/>
              </w:rPr>
              <w:drawing>
                <wp:inline distT="0" distB="0" distL="114300" distR="114300" wp14:anchorId="458C52E7" wp14:editId="33554C9F">
                  <wp:extent cx="1366520" cy="2050415"/>
                  <wp:effectExtent l="0" t="0" r="5080" b="6985"/>
                  <wp:docPr id="15" name="Imagem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IMG_256"/>
                          <pic:cNvPicPr>
                            <a:picLocks noChangeAspect="1"/>
                          </pic:cNvPicPr>
                        </pic:nvPicPr>
                        <pic:blipFill>
                          <a:blip r:embed="rId30"/>
                          <a:stretch>
                            <a:fillRect/>
                          </a:stretch>
                        </pic:blipFill>
                        <pic:spPr>
                          <a:xfrm>
                            <a:off x="0" y="0"/>
                            <a:ext cx="1366520" cy="2050415"/>
                          </a:xfrm>
                          <a:prstGeom prst="rect">
                            <a:avLst/>
                          </a:prstGeom>
                          <a:noFill/>
                          <a:ln w="9525">
                            <a:noFill/>
                          </a:ln>
                        </pic:spPr>
                      </pic:pic>
                    </a:graphicData>
                  </a:graphic>
                </wp:inline>
              </w:drawing>
            </w:r>
          </w:p>
        </w:tc>
      </w:tr>
      <w:tr w:rsidR="0003312E" w14:paraId="5636D531" w14:textId="77777777">
        <w:trPr>
          <w:trHeight w:val="476"/>
        </w:trPr>
        <w:tc>
          <w:tcPr>
            <w:tcW w:w="4353" w:type="dxa"/>
            <w:tcBorders>
              <w:top w:val="nil"/>
              <w:left w:val="nil"/>
              <w:bottom w:val="nil"/>
              <w:right w:val="nil"/>
            </w:tcBorders>
          </w:tcPr>
          <w:p w14:paraId="6B3D8B5F" w14:textId="77777777" w:rsidR="0003312E" w:rsidRDefault="00000000">
            <w:pPr>
              <w:pStyle w:val="NormalWeb"/>
              <w:spacing w:beforeAutospacing="0" w:after="0" w:afterAutospacing="0" w:line="240" w:lineRule="auto"/>
              <w:rPr>
                <w:rStyle w:val="Forte"/>
                <w:rFonts w:eastAsia="Garamond"/>
                <w:b w:val="0"/>
                <w:bCs w:val="0"/>
                <w:sz w:val="24"/>
                <w:lang w:val="pt-BR"/>
              </w:rPr>
            </w:pPr>
            <w:r>
              <w:rPr>
                <w:rFonts w:eastAsiaTheme="majorEastAsia"/>
                <w:i/>
                <w:iCs/>
                <w:sz w:val="24"/>
                <w:lang w:val="pt-BR"/>
              </w:rPr>
              <w:t>Figura 9.1: A Fenomenologia da Ansiedade: Angústia e Aperto</w:t>
            </w:r>
          </w:p>
        </w:tc>
        <w:tc>
          <w:tcPr>
            <w:tcW w:w="4152" w:type="dxa"/>
            <w:tcBorders>
              <w:top w:val="nil"/>
              <w:left w:val="nil"/>
              <w:bottom w:val="nil"/>
              <w:right w:val="nil"/>
            </w:tcBorders>
          </w:tcPr>
          <w:p w14:paraId="3318B725" w14:textId="77777777" w:rsidR="0003312E" w:rsidRDefault="00000000">
            <w:pPr>
              <w:pStyle w:val="NormalWeb"/>
              <w:spacing w:beforeAutospacing="0" w:after="0" w:afterAutospacing="0" w:line="240" w:lineRule="auto"/>
              <w:rPr>
                <w:rStyle w:val="Forte"/>
                <w:rFonts w:eastAsia="Garamond"/>
                <w:b w:val="0"/>
                <w:bCs w:val="0"/>
                <w:sz w:val="24"/>
                <w:lang w:val="pt-BR"/>
              </w:rPr>
            </w:pPr>
            <w:r>
              <w:rPr>
                <w:rFonts w:eastAsiaTheme="majorEastAsia"/>
                <w:i/>
                <w:iCs/>
                <w:sz w:val="24"/>
                <w:lang w:val="pt-BR"/>
              </w:rPr>
              <w:t xml:space="preserve">Figura 9.2: </w:t>
            </w:r>
            <w:proofErr w:type="spellStart"/>
            <w:r>
              <w:rPr>
                <w:sz w:val="24"/>
                <w:lang w:val="pt-BR"/>
              </w:rPr>
              <w:t>Søren</w:t>
            </w:r>
            <w:proofErr w:type="spellEnd"/>
            <w:r>
              <w:rPr>
                <w:sz w:val="24"/>
                <w:lang w:val="pt-BR"/>
              </w:rPr>
              <w:t xml:space="preserve"> </w:t>
            </w:r>
            <w:proofErr w:type="spellStart"/>
            <w:r>
              <w:rPr>
                <w:sz w:val="24"/>
                <w:lang w:val="pt-BR"/>
              </w:rPr>
              <w:t>Aabye</w:t>
            </w:r>
            <w:proofErr w:type="spellEnd"/>
            <w:r>
              <w:rPr>
                <w:sz w:val="24"/>
                <w:lang w:val="pt-BR"/>
              </w:rPr>
              <w:t xml:space="preserve"> </w:t>
            </w:r>
            <w:proofErr w:type="spellStart"/>
            <w:r>
              <w:rPr>
                <w:sz w:val="24"/>
                <w:lang w:val="pt-BR"/>
              </w:rPr>
              <w:t>Kierkgaard</w:t>
            </w:r>
            <w:proofErr w:type="spellEnd"/>
            <w:r>
              <w:rPr>
                <w:sz w:val="24"/>
                <w:lang w:val="pt-BR"/>
              </w:rPr>
              <w:t xml:space="preserve"> (1813 - 1855)</w:t>
            </w:r>
            <w:r>
              <w:rPr>
                <w:rFonts w:eastAsiaTheme="majorEastAsia"/>
                <w:i/>
                <w:iCs/>
                <w:sz w:val="24"/>
                <w:lang w:val="pt-BR"/>
              </w:rPr>
              <w:t>: As Bases Filosóficas do Conceito Moderno de Ansiedade</w:t>
            </w:r>
          </w:p>
        </w:tc>
      </w:tr>
    </w:tbl>
    <w:p w14:paraId="109D8EF9" w14:textId="77777777" w:rsidR="0003312E" w:rsidRDefault="0003312E">
      <w:pPr>
        <w:spacing w:after="0" w:line="360" w:lineRule="auto"/>
        <w:ind w:firstLine="709"/>
        <w:jc w:val="both"/>
        <w:rPr>
          <w:rFonts w:ascii="Times New Roman" w:eastAsia="SimSun" w:hAnsi="Times New Roman" w:cs="Times New Roman"/>
          <w:sz w:val="24"/>
          <w:szCs w:val="24"/>
          <w:lang w:eastAsia="zh-CN"/>
        </w:rPr>
      </w:pPr>
    </w:p>
    <w:p w14:paraId="07829597" w14:textId="77777777" w:rsidR="0003312E" w:rsidRDefault="00000000">
      <w:pPr>
        <w:spacing w:after="0" w:line="360" w:lineRule="auto"/>
        <w:ind w:firstLine="709"/>
        <w:jc w:val="both"/>
        <w:rPr>
          <w:rFonts w:ascii="Times New Roman" w:eastAsia="SimSun" w:hAnsi="Times New Roman" w:cs="Times New Roman"/>
          <w:sz w:val="24"/>
          <w:szCs w:val="24"/>
          <w:lang w:eastAsia="zh-CN"/>
        </w:rPr>
      </w:pPr>
      <w:r>
        <w:rPr>
          <w:rFonts w:ascii="Times New Roman" w:eastAsia="SimSun" w:hAnsi="Times New Roman" w:cs="Times New Roman"/>
          <w:b/>
          <w:bCs/>
          <w:sz w:val="24"/>
          <w:szCs w:val="24"/>
          <w:lang w:eastAsia="zh-CN"/>
        </w:rPr>
        <w:t>Ansiedade em Poucas Palavras: Raízes, Definições e Manifestações</w:t>
      </w:r>
    </w:p>
    <w:p w14:paraId="37B17EFF" w14:textId="77777777" w:rsidR="0003312E" w:rsidRDefault="00000000">
      <w:pPr>
        <w:spacing w:after="0" w:line="360" w:lineRule="auto"/>
        <w:ind w:firstLine="709"/>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O fenômeno da ansiedade nos convida a explorar um dos estados mais universais e complexos da experiência humana, e para compreendê-lo em toda sua profundidade, percorreremos quatro dimensões fundamentais que se entrelaçam. A primeira nos revela sua origem etimológica, que significa literalmente "apertar" ou "sufocar", uma imagem que já antecipa a sensação física que tantos conhecem. A segunda nos guia por sua fascinante jornada histórica, que parte das reflexões da filosofia existencial e chega à medicalização contemporânea. A terceira dimensão desvenda os mecanismos neurocientíficos por trás desse estado de alerta máximo que tanto nos consome. E a quarta nos leva ao plano filosófico, onde a ansiedade emerge não como uma simples patologia, mas como condição fundamental da liberdade humana. São essas quatro perspectivas, integradas na seção final, que nos oferecem uma compreensão profunda e multifacetada desse estado que une de forma indissociável o corpo e o espírito.</w:t>
      </w:r>
    </w:p>
    <w:p w14:paraId="2F61DEDE" w14:textId="77777777" w:rsidR="0003312E" w:rsidRDefault="0003312E">
      <w:pPr>
        <w:spacing w:after="0" w:line="360" w:lineRule="auto"/>
        <w:ind w:firstLine="709"/>
        <w:jc w:val="both"/>
        <w:rPr>
          <w:rFonts w:ascii="Times New Roman" w:eastAsia="SimSun" w:hAnsi="Times New Roman" w:cs="Times New Roman"/>
          <w:b/>
          <w:bCs/>
          <w:sz w:val="24"/>
          <w:szCs w:val="24"/>
          <w:lang w:eastAsia="zh-CN"/>
        </w:rPr>
      </w:pPr>
    </w:p>
    <w:p w14:paraId="58AFC982" w14:textId="77777777" w:rsidR="0003312E" w:rsidRDefault="00000000">
      <w:pPr>
        <w:spacing w:after="0" w:line="360" w:lineRule="auto"/>
        <w:ind w:firstLine="709"/>
        <w:jc w:val="both"/>
        <w:rPr>
          <w:rFonts w:ascii="Times New Roman" w:eastAsia="SimSun" w:hAnsi="Times New Roman" w:cs="Times New Roman"/>
          <w:sz w:val="24"/>
          <w:szCs w:val="24"/>
          <w:lang w:eastAsia="zh-CN"/>
        </w:rPr>
      </w:pPr>
      <w:r>
        <w:rPr>
          <w:rFonts w:ascii="Times New Roman" w:eastAsia="SimSun" w:hAnsi="Times New Roman" w:cs="Times New Roman"/>
          <w:b/>
          <w:bCs/>
          <w:sz w:val="24"/>
          <w:szCs w:val="24"/>
          <w:lang w:eastAsia="zh-CN"/>
        </w:rPr>
        <w:t xml:space="preserve">A Jornada da Palavra: De </w:t>
      </w:r>
      <w:proofErr w:type="spellStart"/>
      <w:r>
        <w:rPr>
          <w:rFonts w:ascii="Times New Roman" w:eastAsia="SimSun" w:hAnsi="Times New Roman" w:cs="Times New Roman"/>
          <w:b/>
          <w:bCs/>
          <w:sz w:val="24"/>
          <w:szCs w:val="24"/>
          <w:lang w:eastAsia="zh-CN"/>
        </w:rPr>
        <w:t>Angere</w:t>
      </w:r>
      <w:proofErr w:type="spellEnd"/>
      <w:r>
        <w:rPr>
          <w:rFonts w:ascii="Times New Roman" w:eastAsia="SimSun" w:hAnsi="Times New Roman" w:cs="Times New Roman"/>
          <w:b/>
          <w:bCs/>
          <w:sz w:val="24"/>
          <w:szCs w:val="24"/>
          <w:lang w:eastAsia="zh-CN"/>
        </w:rPr>
        <w:t xml:space="preserve"> à Era Digital</w:t>
      </w:r>
    </w:p>
    <w:p w14:paraId="6AD2586A" w14:textId="77777777" w:rsidR="0003312E" w:rsidRDefault="00000000">
      <w:pPr>
        <w:spacing w:after="0" w:line="360" w:lineRule="auto"/>
        <w:ind w:firstLine="709"/>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A evolução histórica do conceito de ansiedade reflete as transformações culturais, médicas e filosóficas da humanidade. Para uma visão geral desta jornada, consulte a Quadro 9.1 abaixo, antes de nos aprofundarmos em cada período.</w:t>
      </w:r>
    </w:p>
    <w:p w14:paraId="2296D2B2" w14:textId="77777777" w:rsidR="0003312E" w:rsidRDefault="0003312E">
      <w:pPr>
        <w:spacing w:after="0" w:line="360" w:lineRule="auto"/>
        <w:ind w:firstLine="709"/>
        <w:jc w:val="both"/>
        <w:rPr>
          <w:rFonts w:ascii="Times New Roman" w:eastAsia="SimSun" w:hAnsi="Times New Roman" w:cs="Times New Roman"/>
          <w:b/>
          <w:bCs/>
          <w:sz w:val="24"/>
          <w:szCs w:val="24"/>
          <w:lang w:eastAsia="zh-CN"/>
        </w:rPr>
      </w:pPr>
    </w:p>
    <w:p w14:paraId="0F1DB7A1" w14:textId="77777777" w:rsidR="0003312E" w:rsidRDefault="0003312E">
      <w:pPr>
        <w:spacing w:after="0" w:line="360" w:lineRule="auto"/>
        <w:ind w:firstLine="709"/>
        <w:jc w:val="both"/>
        <w:rPr>
          <w:rFonts w:ascii="Times New Roman" w:eastAsia="SimSun" w:hAnsi="Times New Roman" w:cs="Times New Roman"/>
          <w:b/>
          <w:bCs/>
          <w:sz w:val="24"/>
          <w:szCs w:val="24"/>
          <w:lang w:eastAsia="zh-CN"/>
        </w:rPr>
      </w:pPr>
    </w:p>
    <w:p w14:paraId="021A617A" w14:textId="77777777" w:rsidR="0003312E" w:rsidRDefault="0003312E">
      <w:pPr>
        <w:spacing w:after="0" w:line="360" w:lineRule="auto"/>
        <w:ind w:firstLine="709"/>
        <w:jc w:val="both"/>
        <w:rPr>
          <w:rFonts w:ascii="Times New Roman" w:eastAsia="SimSun" w:hAnsi="Times New Roman" w:cs="Times New Roman"/>
          <w:b/>
          <w:bCs/>
          <w:sz w:val="24"/>
          <w:szCs w:val="24"/>
          <w:lang w:eastAsia="zh-CN"/>
        </w:rPr>
      </w:pPr>
    </w:p>
    <w:p w14:paraId="491A2B75" w14:textId="77777777" w:rsidR="0003312E" w:rsidRDefault="0003312E">
      <w:pPr>
        <w:spacing w:after="0" w:line="360" w:lineRule="auto"/>
        <w:ind w:firstLine="709"/>
        <w:jc w:val="both"/>
        <w:rPr>
          <w:rFonts w:ascii="Times New Roman" w:eastAsia="SimSun" w:hAnsi="Times New Roman" w:cs="Times New Roman"/>
          <w:b/>
          <w:bCs/>
          <w:sz w:val="24"/>
          <w:szCs w:val="24"/>
          <w:lang w:eastAsia="zh-CN"/>
        </w:rPr>
      </w:pPr>
    </w:p>
    <w:p w14:paraId="0C0212CF" w14:textId="77777777" w:rsidR="0003312E" w:rsidRDefault="00000000">
      <w:pPr>
        <w:spacing w:after="0" w:line="360" w:lineRule="auto"/>
        <w:ind w:firstLine="709"/>
        <w:jc w:val="both"/>
        <w:rPr>
          <w:rFonts w:ascii="Times New Roman" w:eastAsia="SimSun" w:hAnsi="Times New Roman" w:cs="Times New Roman"/>
          <w:sz w:val="24"/>
          <w:szCs w:val="24"/>
          <w:lang w:eastAsia="zh-CN"/>
        </w:rPr>
      </w:pPr>
      <w:r>
        <w:rPr>
          <w:rFonts w:ascii="Times New Roman" w:eastAsia="SimSun" w:hAnsi="Times New Roman" w:cs="Times New Roman"/>
          <w:b/>
          <w:bCs/>
          <w:sz w:val="24"/>
          <w:szCs w:val="24"/>
          <w:lang w:eastAsia="zh-CN"/>
        </w:rPr>
        <w:lastRenderedPageBreak/>
        <w:t>Quadro 9.1. Evolução Histórica do Conceito de Ansiedade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01"/>
        <w:gridCol w:w="2107"/>
        <w:gridCol w:w="5553"/>
      </w:tblGrid>
      <w:tr w:rsidR="0003312E" w14:paraId="506A02C4" w14:textId="77777777">
        <w:trPr>
          <w:tblHeader/>
        </w:trPr>
        <w:tc>
          <w:tcPr>
            <w:tcW w:w="0" w:type="auto"/>
            <w:tcMar>
              <w:top w:w="150" w:type="dxa"/>
              <w:left w:w="0" w:type="dxa"/>
              <w:bottom w:w="150" w:type="dxa"/>
              <w:right w:w="240" w:type="dxa"/>
            </w:tcMar>
            <w:vAlign w:val="center"/>
          </w:tcPr>
          <w:p w14:paraId="46983783" w14:textId="77777777" w:rsidR="0003312E" w:rsidRDefault="00000000">
            <w:pPr>
              <w:spacing w:after="0" w:line="240" w:lineRule="auto"/>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Época</w:t>
            </w:r>
          </w:p>
        </w:tc>
        <w:tc>
          <w:tcPr>
            <w:tcW w:w="0" w:type="auto"/>
            <w:tcMar>
              <w:top w:w="150" w:type="dxa"/>
              <w:left w:w="240" w:type="dxa"/>
              <w:bottom w:w="150" w:type="dxa"/>
              <w:right w:w="240" w:type="dxa"/>
            </w:tcMar>
            <w:vAlign w:val="center"/>
          </w:tcPr>
          <w:p w14:paraId="58966BCA" w14:textId="77777777" w:rsidR="0003312E" w:rsidRDefault="00000000">
            <w:pPr>
              <w:spacing w:after="0" w:line="240" w:lineRule="auto"/>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Marco</w:t>
            </w:r>
          </w:p>
        </w:tc>
        <w:tc>
          <w:tcPr>
            <w:tcW w:w="0" w:type="auto"/>
            <w:tcMar>
              <w:top w:w="150" w:type="dxa"/>
              <w:left w:w="240" w:type="dxa"/>
              <w:bottom w:w="150" w:type="dxa"/>
              <w:right w:w="240" w:type="dxa"/>
            </w:tcMar>
            <w:vAlign w:val="center"/>
          </w:tcPr>
          <w:p w14:paraId="1DB1FE00" w14:textId="77777777" w:rsidR="0003312E" w:rsidRDefault="00000000">
            <w:pPr>
              <w:spacing w:after="0" w:line="240" w:lineRule="auto"/>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Significado e Impacto</w:t>
            </w:r>
          </w:p>
        </w:tc>
      </w:tr>
      <w:tr w:rsidR="0003312E" w14:paraId="7C61630D" w14:textId="77777777">
        <w:tc>
          <w:tcPr>
            <w:tcW w:w="0" w:type="auto"/>
            <w:tcMar>
              <w:top w:w="150" w:type="dxa"/>
              <w:left w:w="0" w:type="dxa"/>
              <w:bottom w:w="150" w:type="dxa"/>
              <w:right w:w="240" w:type="dxa"/>
            </w:tcMar>
            <w:vAlign w:val="center"/>
          </w:tcPr>
          <w:p w14:paraId="0DF8FEF6" w14:textId="77777777" w:rsidR="0003312E" w:rsidRDefault="00000000">
            <w:pPr>
              <w:spacing w:after="0" w:line="240" w:lineRule="auto"/>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Grécia Antiga</w:t>
            </w:r>
          </w:p>
        </w:tc>
        <w:tc>
          <w:tcPr>
            <w:tcW w:w="0" w:type="auto"/>
            <w:tcMar>
              <w:top w:w="150" w:type="dxa"/>
              <w:left w:w="240" w:type="dxa"/>
              <w:bottom w:w="150" w:type="dxa"/>
              <w:right w:w="240" w:type="dxa"/>
            </w:tcMar>
            <w:vAlign w:val="center"/>
          </w:tcPr>
          <w:p w14:paraId="2459CA1B" w14:textId="77777777" w:rsidR="0003312E" w:rsidRDefault="00000000">
            <w:pPr>
              <w:spacing w:after="0" w:line="240" w:lineRule="auto"/>
              <w:rPr>
                <w:rFonts w:ascii="Times New Roman" w:eastAsia="SimSun" w:hAnsi="Times New Roman" w:cs="Times New Roman"/>
                <w:sz w:val="20"/>
                <w:szCs w:val="20"/>
                <w:lang w:eastAsia="zh-CN"/>
              </w:rPr>
            </w:pPr>
            <w:proofErr w:type="spellStart"/>
            <w:r>
              <w:rPr>
                <w:rFonts w:ascii="Times New Roman" w:eastAsia="SimSun" w:hAnsi="Times New Roman" w:cs="Times New Roman"/>
                <w:sz w:val="20"/>
                <w:szCs w:val="20"/>
                <w:lang w:eastAsia="zh-CN"/>
              </w:rPr>
              <w:t>ἄγχω</w:t>
            </w:r>
            <w:proofErr w:type="spellEnd"/>
            <w:r>
              <w:rPr>
                <w:rFonts w:ascii="Times New Roman" w:eastAsia="SimSun" w:hAnsi="Times New Roman" w:cs="Times New Roman"/>
                <w:sz w:val="20"/>
                <w:szCs w:val="20"/>
                <w:lang w:eastAsia="zh-CN"/>
              </w:rPr>
              <w:t xml:space="preserve"> (</w:t>
            </w:r>
            <w:proofErr w:type="spellStart"/>
            <w:r>
              <w:rPr>
                <w:rFonts w:ascii="Times New Roman" w:eastAsia="SimSun" w:hAnsi="Times New Roman" w:cs="Times New Roman"/>
                <w:sz w:val="20"/>
                <w:szCs w:val="20"/>
                <w:lang w:eastAsia="zh-CN"/>
              </w:rPr>
              <w:t>ánkhō</w:t>
            </w:r>
            <w:proofErr w:type="spellEnd"/>
            <w:r>
              <w:rPr>
                <w:rFonts w:ascii="Times New Roman" w:eastAsia="SimSun" w:hAnsi="Times New Roman" w:cs="Times New Roman"/>
                <w:sz w:val="20"/>
                <w:szCs w:val="20"/>
                <w:lang w:eastAsia="zh-CN"/>
              </w:rPr>
              <w:t>, "estrangular")</w:t>
            </w:r>
          </w:p>
        </w:tc>
        <w:tc>
          <w:tcPr>
            <w:tcW w:w="0" w:type="auto"/>
            <w:tcMar>
              <w:top w:w="150" w:type="dxa"/>
              <w:left w:w="240" w:type="dxa"/>
              <w:bottom w:w="150" w:type="dxa"/>
              <w:right w:w="0" w:type="dxa"/>
            </w:tcMar>
            <w:vAlign w:val="center"/>
          </w:tcPr>
          <w:p w14:paraId="23AB4421" w14:textId="77777777" w:rsidR="0003312E" w:rsidRDefault="00000000">
            <w:pPr>
              <w:spacing w:after="0" w:line="240" w:lineRule="auto"/>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A medicina hipocrática via a ansiedade como um desequilíbrio dos humores, especialmente da bile negra. Caso de Nicanor atribuído a "excesso de bile</w:t>
            </w:r>
            <w:proofErr w:type="gramStart"/>
            <w:r>
              <w:rPr>
                <w:rFonts w:ascii="Times New Roman" w:eastAsia="SimSun" w:hAnsi="Times New Roman" w:cs="Times New Roman"/>
                <w:sz w:val="20"/>
                <w:szCs w:val="20"/>
                <w:lang w:eastAsia="zh-CN"/>
              </w:rPr>
              <w:t>" .</w:t>
            </w:r>
            <w:proofErr w:type="gramEnd"/>
            <w:r>
              <w:rPr>
                <w:rFonts w:ascii="Times New Roman" w:eastAsia="SimSun" w:hAnsi="Times New Roman" w:cs="Times New Roman"/>
                <w:sz w:val="20"/>
                <w:szCs w:val="20"/>
                <w:lang w:eastAsia="zh-CN"/>
              </w:rPr>
              <w:t xml:space="preserve"> </w:t>
            </w:r>
          </w:p>
        </w:tc>
      </w:tr>
      <w:tr w:rsidR="0003312E" w14:paraId="1625BCDE" w14:textId="77777777">
        <w:tc>
          <w:tcPr>
            <w:tcW w:w="0" w:type="auto"/>
            <w:tcMar>
              <w:top w:w="150" w:type="dxa"/>
              <w:left w:w="0" w:type="dxa"/>
              <w:bottom w:w="150" w:type="dxa"/>
              <w:right w:w="240" w:type="dxa"/>
            </w:tcMar>
            <w:vAlign w:val="center"/>
          </w:tcPr>
          <w:p w14:paraId="3F21EB59" w14:textId="77777777" w:rsidR="0003312E" w:rsidRDefault="00000000">
            <w:pPr>
              <w:spacing w:after="0" w:line="240" w:lineRule="auto"/>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Roma Antiga</w:t>
            </w:r>
          </w:p>
        </w:tc>
        <w:tc>
          <w:tcPr>
            <w:tcW w:w="0" w:type="auto"/>
            <w:tcMar>
              <w:top w:w="150" w:type="dxa"/>
              <w:left w:w="240" w:type="dxa"/>
              <w:bottom w:w="150" w:type="dxa"/>
              <w:right w:w="240" w:type="dxa"/>
            </w:tcMar>
            <w:vAlign w:val="center"/>
          </w:tcPr>
          <w:p w14:paraId="134E9877" w14:textId="77777777" w:rsidR="0003312E" w:rsidRDefault="00000000">
            <w:pPr>
              <w:spacing w:after="0" w:line="240" w:lineRule="auto"/>
              <w:rPr>
                <w:rFonts w:ascii="Times New Roman" w:eastAsia="SimSun" w:hAnsi="Times New Roman" w:cs="Times New Roman"/>
                <w:sz w:val="20"/>
                <w:szCs w:val="20"/>
                <w:lang w:eastAsia="zh-CN"/>
              </w:rPr>
            </w:pPr>
            <w:proofErr w:type="spellStart"/>
            <w:r>
              <w:rPr>
                <w:rFonts w:ascii="Times New Roman" w:eastAsia="SimSun" w:hAnsi="Times New Roman" w:cs="Times New Roman"/>
                <w:sz w:val="20"/>
                <w:szCs w:val="20"/>
                <w:lang w:eastAsia="zh-CN"/>
              </w:rPr>
              <w:t>angere</w:t>
            </w:r>
            <w:proofErr w:type="spellEnd"/>
            <w:r>
              <w:rPr>
                <w:rFonts w:ascii="Times New Roman" w:eastAsia="SimSun" w:hAnsi="Times New Roman" w:cs="Times New Roman"/>
                <w:sz w:val="20"/>
                <w:szCs w:val="20"/>
                <w:lang w:eastAsia="zh-CN"/>
              </w:rPr>
              <w:t xml:space="preserve"> ("apertar, sufocar")</w:t>
            </w:r>
          </w:p>
        </w:tc>
        <w:tc>
          <w:tcPr>
            <w:tcW w:w="0" w:type="auto"/>
            <w:tcMar>
              <w:top w:w="150" w:type="dxa"/>
              <w:left w:w="240" w:type="dxa"/>
              <w:bottom w:w="150" w:type="dxa"/>
              <w:right w:w="0" w:type="dxa"/>
            </w:tcMar>
            <w:vAlign w:val="center"/>
          </w:tcPr>
          <w:p w14:paraId="493BCC9F" w14:textId="77777777" w:rsidR="0003312E" w:rsidRDefault="00000000">
            <w:pPr>
              <w:spacing w:after="0" w:line="240" w:lineRule="auto"/>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 xml:space="preserve">Os romanos herdaram a teoria humoral grega. Filósofos estoicos, como Sêneca, consideravam a ansiedade um obstáculo à ataraxia. Medo da morte, não a morte em si, era raiz do </w:t>
            </w:r>
            <w:proofErr w:type="gramStart"/>
            <w:r>
              <w:rPr>
                <w:rFonts w:ascii="Times New Roman" w:eastAsia="SimSun" w:hAnsi="Times New Roman" w:cs="Times New Roman"/>
                <w:sz w:val="20"/>
                <w:szCs w:val="20"/>
                <w:lang w:eastAsia="zh-CN"/>
              </w:rPr>
              <w:t>sofrimento .</w:t>
            </w:r>
            <w:proofErr w:type="gramEnd"/>
            <w:r>
              <w:rPr>
                <w:rFonts w:ascii="Times New Roman" w:eastAsia="SimSun" w:hAnsi="Times New Roman" w:cs="Times New Roman"/>
                <w:sz w:val="20"/>
                <w:szCs w:val="20"/>
                <w:lang w:eastAsia="zh-CN"/>
              </w:rPr>
              <w:t xml:space="preserve"> </w:t>
            </w:r>
          </w:p>
        </w:tc>
      </w:tr>
      <w:tr w:rsidR="0003312E" w14:paraId="72BBD6B1" w14:textId="77777777">
        <w:tc>
          <w:tcPr>
            <w:tcW w:w="0" w:type="auto"/>
            <w:tcMar>
              <w:top w:w="150" w:type="dxa"/>
              <w:left w:w="0" w:type="dxa"/>
              <w:bottom w:w="150" w:type="dxa"/>
              <w:right w:w="240" w:type="dxa"/>
            </w:tcMar>
            <w:vAlign w:val="center"/>
          </w:tcPr>
          <w:p w14:paraId="40CB409A" w14:textId="77777777" w:rsidR="0003312E" w:rsidRDefault="00000000">
            <w:pPr>
              <w:spacing w:after="0" w:line="240" w:lineRule="auto"/>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Idade Média</w:t>
            </w:r>
          </w:p>
        </w:tc>
        <w:tc>
          <w:tcPr>
            <w:tcW w:w="0" w:type="auto"/>
            <w:tcMar>
              <w:top w:w="150" w:type="dxa"/>
              <w:left w:w="240" w:type="dxa"/>
              <w:bottom w:w="150" w:type="dxa"/>
              <w:right w:w="240" w:type="dxa"/>
            </w:tcMar>
            <w:vAlign w:val="center"/>
          </w:tcPr>
          <w:p w14:paraId="507A3760" w14:textId="77777777" w:rsidR="0003312E" w:rsidRDefault="00000000">
            <w:pPr>
              <w:spacing w:after="0" w:line="240" w:lineRule="auto"/>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"Angústia" como pecado</w:t>
            </w:r>
          </w:p>
        </w:tc>
        <w:tc>
          <w:tcPr>
            <w:tcW w:w="0" w:type="auto"/>
            <w:tcMar>
              <w:top w:w="150" w:type="dxa"/>
              <w:left w:w="240" w:type="dxa"/>
              <w:bottom w:w="150" w:type="dxa"/>
              <w:right w:w="0" w:type="dxa"/>
            </w:tcMar>
            <w:vAlign w:val="center"/>
          </w:tcPr>
          <w:p w14:paraId="7BAB3922" w14:textId="77777777" w:rsidR="0003312E" w:rsidRDefault="00000000">
            <w:pPr>
              <w:spacing w:after="0" w:line="240" w:lineRule="auto"/>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 xml:space="preserve">Interpretada como acedia. Santo Tomás de Aquino a associava à </w:t>
            </w:r>
            <w:proofErr w:type="spellStart"/>
            <w:r>
              <w:rPr>
                <w:rFonts w:ascii="Times New Roman" w:eastAsia="SimSun" w:hAnsi="Times New Roman" w:cs="Times New Roman"/>
                <w:sz w:val="20"/>
                <w:szCs w:val="20"/>
                <w:lang w:eastAsia="zh-CN"/>
              </w:rPr>
              <w:t>tristitia</w:t>
            </w:r>
            <w:proofErr w:type="spellEnd"/>
            <w:r>
              <w:rPr>
                <w:rFonts w:ascii="Times New Roman" w:eastAsia="SimSun" w:hAnsi="Times New Roman" w:cs="Times New Roman"/>
                <w:sz w:val="20"/>
                <w:szCs w:val="20"/>
                <w:lang w:eastAsia="zh-CN"/>
              </w:rPr>
              <w:t xml:space="preserve">, diferenciando-a do medo com objeto </w:t>
            </w:r>
            <w:proofErr w:type="gramStart"/>
            <w:r>
              <w:rPr>
                <w:rFonts w:ascii="Times New Roman" w:eastAsia="SimSun" w:hAnsi="Times New Roman" w:cs="Times New Roman"/>
                <w:sz w:val="20"/>
                <w:szCs w:val="20"/>
                <w:lang w:eastAsia="zh-CN"/>
              </w:rPr>
              <w:t>definido .</w:t>
            </w:r>
            <w:proofErr w:type="gramEnd"/>
            <w:r>
              <w:rPr>
                <w:rFonts w:ascii="Times New Roman" w:eastAsia="SimSun" w:hAnsi="Times New Roman" w:cs="Times New Roman"/>
                <w:sz w:val="20"/>
                <w:szCs w:val="20"/>
                <w:lang w:eastAsia="zh-CN"/>
              </w:rPr>
              <w:t xml:space="preserve"> </w:t>
            </w:r>
          </w:p>
        </w:tc>
      </w:tr>
      <w:tr w:rsidR="0003312E" w14:paraId="3E549EBD" w14:textId="77777777">
        <w:tc>
          <w:tcPr>
            <w:tcW w:w="0" w:type="auto"/>
            <w:tcMar>
              <w:top w:w="150" w:type="dxa"/>
              <w:left w:w="0" w:type="dxa"/>
              <w:bottom w:w="150" w:type="dxa"/>
              <w:right w:w="240" w:type="dxa"/>
            </w:tcMar>
            <w:vAlign w:val="center"/>
          </w:tcPr>
          <w:p w14:paraId="2B28428E" w14:textId="77777777" w:rsidR="0003312E" w:rsidRDefault="00000000">
            <w:pPr>
              <w:spacing w:after="0" w:line="240" w:lineRule="auto"/>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Século XIX</w:t>
            </w:r>
          </w:p>
        </w:tc>
        <w:tc>
          <w:tcPr>
            <w:tcW w:w="0" w:type="auto"/>
            <w:tcMar>
              <w:top w:w="150" w:type="dxa"/>
              <w:left w:w="240" w:type="dxa"/>
              <w:bottom w:w="150" w:type="dxa"/>
              <w:right w:w="240" w:type="dxa"/>
            </w:tcMar>
            <w:vAlign w:val="center"/>
          </w:tcPr>
          <w:p w14:paraId="428E1DF9" w14:textId="77777777" w:rsidR="0003312E" w:rsidRDefault="00000000">
            <w:pPr>
              <w:spacing w:after="0" w:line="240" w:lineRule="auto"/>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Kierkegaard e o existencialismo</w:t>
            </w:r>
          </w:p>
        </w:tc>
        <w:tc>
          <w:tcPr>
            <w:tcW w:w="0" w:type="auto"/>
            <w:tcMar>
              <w:top w:w="150" w:type="dxa"/>
              <w:left w:w="240" w:type="dxa"/>
              <w:bottom w:w="150" w:type="dxa"/>
              <w:right w:w="0" w:type="dxa"/>
            </w:tcMar>
            <w:vAlign w:val="center"/>
          </w:tcPr>
          <w:p w14:paraId="6120B1DF" w14:textId="77777777" w:rsidR="0003312E" w:rsidRDefault="00000000">
            <w:pPr>
              <w:spacing w:after="0" w:line="240" w:lineRule="auto"/>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Ansiedade como condição para autenticidade, influenciando Sartre e a ideia de que "o homem está condenado a ser livre".</w:t>
            </w:r>
          </w:p>
        </w:tc>
      </w:tr>
      <w:tr w:rsidR="0003312E" w14:paraId="165ECB25" w14:textId="77777777">
        <w:tc>
          <w:tcPr>
            <w:tcW w:w="0" w:type="auto"/>
            <w:tcMar>
              <w:top w:w="150" w:type="dxa"/>
              <w:left w:w="0" w:type="dxa"/>
              <w:bottom w:w="150" w:type="dxa"/>
              <w:right w:w="240" w:type="dxa"/>
            </w:tcMar>
            <w:vAlign w:val="center"/>
          </w:tcPr>
          <w:p w14:paraId="4F5A939F" w14:textId="77777777" w:rsidR="0003312E" w:rsidRDefault="00000000">
            <w:pPr>
              <w:spacing w:after="0" w:line="240" w:lineRule="auto"/>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Século XIX/início XX</w:t>
            </w:r>
          </w:p>
        </w:tc>
        <w:tc>
          <w:tcPr>
            <w:tcW w:w="0" w:type="auto"/>
            <w:tcMar>
              <w:top w:w="150" w:type="dxa"/>
              <w:left w:w="240" w:type="dxa"/>
              <w:bottom w:w="150" w:type="dxa"/>
              <w:right w:w="240" w:type="dxa"/>
            </w:tcMar>
            <w:vAlign w:val="center"/>
          </w:tcPr>
          <w:p w14:paraId="60DE283B" w14:textId="77777777" w:rsidR="0003312E" w:rsidRDefault="00000000">
            <w:pPr>
              <w:spacing w:after="0" w:line="240" w:lineRule="auto"/>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Freud e a "neurose de angústia"</w:t>
            </w:r>
          </w:p>
        </w:tc>
        <w:tc>
          <w:tcPr>
            <w:tcW w:w="0" w:type="auto"/>
            <w:tcMar>
              <w:top w:w="150" w:type="dxa"/>
              <w:left w:w="240" w:type="dxa"/>
              <w:bottom w:w="150" w:type="dxa"/>
              <w:right w:w="0" w:type="dxa"/>
            </w:tcMar>
            <w:vAlign w:val="center"/>
          </w:tcPr>
          <w:p w14:paraId="45BA47BC" w14:textId="77777777" w:rsidR="0003312E" w:rsidRDefault="00000000">
            <w:pPr>
              <w:spacing w:after="0" w:line="240" w:lineRule="auto"/>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 xml:space="preserve">Ansiedade como alerta do ego contra pulsões reprimidas, distinguindo ansiedade real de neurótica, influência presente no </w:t>
            </w:r>
            <w:proofErr w:type="gramStart"/>
            <w:r>
              <w:rPr>
                <w:rFonts w:ascii="Times New Roman" w:eastAsia="SimSun" w:hAnsi="Times New Roman" w:cs="Times New Roman"/>
                <w:sz w:val="20"/>
                <w:szCs w:val="20"/>
                <w:lang w:eastAsia="zh-CN"/>
              </w:rPr>
              <w:t>DSM .</w:t>
            </w:r>
            <w:proofErr w:type="gramEnd"/>
            <w:r>
              <w:rPr>
                <w:rFonts w:ascii="Times New Roman" w:eastAsia="SimSun" w:hAnsi="Times New Roman" w:cs="Times New Roman"/>
                <w:sz w:val="20"/>
                <w:szCs w:val="20"/>
                <w:lang w:eastAsia="zh-CN"/>
              </w:rPr>
              <w:t xml:space="preserve"> </w:t>
            </w:r>
          </w:p>
        </w:tc>
      </w:tr>
      <w:tr w:rsidR="0003312E" w14:paraId="757ED3C0" w14:textId="77777777">
        <w:tc>
          <w:tcPr>
            <w:tcW w:w="0" w:type="auto"/>
            <w:tcMar>
              <w:top w:w="150" w:type="dxa"/>
              <w:left w:w="0" w:type="dxa"/>
              <w:bottom w:w="150" w:type="dxa"/>
              <w:right w:w="240" w:type="dxa"/>
            </w:tcMar>
            <w:vAlign w:val="center"/>
          </w:tcPr>
          <w:p w14:paraId="4DA407BB" w14:textId="77777777" w:rsidR="0003312E" w:rsidRDefault="00000000">
            <w:pPr>
              <w:spacing w:after="0" w:line="240" w:lineRule="auto"/>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Século XX</w:t>
            </w:r>
          </w:p>
        </w:tc>
        <w:tc>
          <w:tcPr>
            <w:tcW w:w="0" w:type="auto"/>
            <w:tcMar>
              <w:top w:w="150" w:type="dxa"/>
              <w:left w:w="240" w:type="dxa"/>
              <w:bottom w:w="150" w:type="dxa"/>
              <w:right w:w="240" w:type="dxa"/>
            </w:tcMar>
            <w:vAlign w:val="center"/>
          </w:tcPr>
          <w:p w14:paraId="28C9811A" w14:textId="77777777" w:rsidR="0003312E" w:rsidRDefault="00000000">
            <w:pPr>
              <w:spacing w:after="0" w:line="240" w:lineRule="auto"/>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DSM e categorização clínica</w:t>
            </w:r>
          </w:p>
        </w:tc>
        <w:tc>
          <w:tcPr>
            <w:tcW w:w="0" w:type="auto"/>
            <w:tcMar>
              <w:top w:w="150" w:type="dxa"/>
              <w:left w:w="240" w:type="dxa"/>
              <w:bottom w:w="150" w:type="dxa"/>
              <w:right w:w="0" w:type="dxa"/>
            </w:tcMar>
            <w:vAlign w:val="center"/>
          </w:tcPr>
          <w:p w14:paraId="556A9910" w14:textId="77777777" w:rsidR="0003312E" w:rsidRDefault="00000000">
            <w:pPr>
              <w:spacing w:after="0" w:line="240" w:lineRule="auto"/>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 xml:space="preserve">DSM-I (1952) classifica ansiedade como "reação psiconeurótica". DSM-III (1980) introduz critérios objetivos, como ataques de pânico </w:t>
            </w:r>
            <w:proofErr w:type="gramStart"/>
            <w:r>
              <w:rPr>
                <w:rFonts w:ascii="Times New Roman" w:eastAsia="SimSun" w:hAnsi="Times New Roman" w:cs="Times New Roman"/>
                <w:sz w:val="20"/>
                <w:szCs w:val="20"/>
                <w:lang w:eastAsia="zh-CN"/>
              </w:rPr>
              <w:t>recorrentes .</w:t>
            </w:r>
            <w:proofErr w:type="gramEnd"/>
            <w:r>
              <w:rPr>
                <w:rFonts w:ascii="Times New Roman" w:eastAsia="SimSun" w:hAnsi="Times New Roman" w:cs="Times New Roman"/>
                <w:sz w:val="20"/>
                <w:szCs w:val="20"/>
                <w:lang w:eastAsia="zh-CN"/>
              </w:rPr>
              <w:t xml:space="preserve"> </w:t>
            </w:r>
          </w:p>
        </w:tc>
      </w:tr>
      <w:tr w:rsidR="0003312E" w14:paraId="31D1D78B" w14:textId="77777777">
        <w:tc>
          <w:tcPr>
            <w:tcW w:w="0" w:type="auto"/>
            <w:tcMar>
              <w:top w:w="150" w:type="dxa"/>
              <w:left w:w="0" w:type="dxa"/>
              <w:bottom w:w="150" w:type="dxa"/>
              <w:right w:w="240" w:type="dxa"/>
            </w:tcMar>
            <w:vAlign w:val="center"/>
          </w:tcPr>
          <w:p w14:paraId="1D8E5DE5" w14:textId="77777777" w:rsidR="0003312E" w:rsidRDefault="00000000">
            <w:pPr>
              <w:spacing w:after="0" w:line="240" w:lineRule="auto"/>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Século XXI</w:t>
            </w:r>
          </w:p>
        </w:tc>
        <w:tc>
          <w:tcPr>
            <w:tcW w:w="0" w:type="auto"/>
            <w:tcMar>
              <w:top w:w="150" w:type="dxa"/>
              <w:left w:w="240" w:type="dxa"/>
              <w:bottom w:w="150" w:type="dxa"/>
              <w:right w:w="240" w:type="dxa"/>
            </w:tcMar>
            <w:vAlign w:val="center"/>
          </w:tcPr>
          <w:p w14:paraId="79B4D874" w14:textId="77777777" w:rsidR="0003312E" w:rsidRDefault="00000000">
            <w:pPr>
              <w:spacing w:after="0" w:line="240" w:lineRule="auto"/>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Neurociência e era digital</w:t>
            </w:r>
          </w:p>
        </w:tc>
        <w:tc>
          <w:tcPr>
            <w:tcW w:w="0" w:type="auto"/>
            <w:tcMar>
              <w:top w:w="150" w:type="dxa"/>
              <w:left w:w="240" w:type="dxa"/>
              <w:bottom w:w="150" w:type="dxa"/>
              <w:right w:w="0" w:type="dxa"/>
            </w:tcMar>
            <w:vAlign w:val="center"/>
          </w:tcPr>
          <w:p w14:paraId="29E0D82C" w14:textId="77777777" w:rsidR="0003312E" w:rsidRDefault="00000000">
            <w:pPr>
              <w:spacing w:after="0" w:line="240" w:lineRule="auto"/>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 xml:space="preserve">Neuroimagem associa ansiedade a desregulações na rede de saliência e no córtex cingulado anterior. </w:t>
            </w:r>
          </w:p>
        </w:tc>
      </w:tr>
    </w:tbl>
    <w:p w14:paraId="5A46B4E1" w14:textId="77777777" w:rsidR="0003312E" w:rsidRDefault="0003312E">
      <w:pPr>
        <w:spacing w:after="0" w:line="360" w:lineRule="auto"/>
        <w:ind w:firstLine="709"/>
        <w:jc w:val="both"/>
        <w:rPr>
          <w:rFonts w:ascii="Times New Roman" w:eastAsia="SimSun" w:hAnsi="Times New Roman" w:cs="Times New Roman"/>
          <w:sz w:val="24"/>
          <w:szCs w:val="24"/>
          <w:lang w:eastAsia="zh-CN"/>
        </w:rPr>
      </w:pPr>
    </w:p>
    <w:p w14:paraId="6595FD38" w14:textId="77777777" w:rsidR="0003312E" w:rsidRDefault="00000000">
      <w:pPr>
        <w:spacing w:after="0" w:line="360" w:lineRule="auto"/>
        <w:ind w:firstLine="709"/>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Na Grécia Antiga, a palavra </w:t>
      </w:r>
      <w:proofErr w:type="spellStart"/>
      <w:r>
        <w:rPr>
          <w:rFonts w:ascii="Times New Roman" w:eastAsia="SimSun" w:hAnsi="Times New Roman" w:cs="Times New Roman"/>
          <w:sz w:val="24"/>
          <w:szCs w:val="24"/>
          <w:lang w:eastAsia="zh-CN"/>
        </w:rPr>
        <w:t>ἄγχω</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ánkhō</w:t>
      </w:r>
      <w:proofErr w:type="spellEnd"/>
      <w:r>
        <w:rPr>
          <w:rFonts w:ascii="Times New Roman" w:eastAsia="SimSun" w:hAnsi="Times New Roman" w:cs="Times New Roman"/>
          <w:sz w:val="24"/>
          <w:szCs w:val="24"/>
          <w:lang w:eastAsia="zh-CN"/>
        </w:rPr>
        <w:t xml:space="preserve">) era compreendida pela medicina hipocrática como um desequilíbrio dos humores corporais, especialmente o excesso de bile negra, associado à melancolia – uma visão que ecoa em todo o Corpus </w:t>
      </w:r>
      <w:proofErr w:type="spellStart"/>
      <w:r>
        <w:rPr>
          <w:rFonts w:ascii="Times New Roman" w:eastAsia="SimSun" w:hAnsi="Times New Roman" w:cs="Times New Roman"/>
          <w:sz w:val="24"/>
          <w:szCs w:val="24"/>
          <w:lang w:eastAsia="zh-CN"/>
        </w:rPr>
        <w:t>Hippocraticum</w:t>
      </w:r>
      <w:proofErr w:type="spellEnd"/>
      <w:r>
        <w:rPr>
          <w:rFonts w:ascii="Times New Roman" w:eastAsia="SimSun" w:hAnsi="Times New Roman" w:cs="Times New Roman"/>
          <w:sz w:val="24"/>
          <w:szCs w:val="24"/>
          <w:lang w:eastAsia="zh-CN"/>
        </w:rPr>
        <w:t xml:space="preserve">. O Corpus </w:t>
      </w:r>
      <w:proofErr w:type="spellStart"/>
      <w:r>
        <w:rPr>
          <w:rFonts w:ascii="Times New Roman" w:eastAsia="SimSun" w:hAnsi="Times New Roman" w:cs="Times New Roman"/>
          <w:sz w:val="24"/>
          <w:szCs w:val="24"/>
          <w:lang w:eastAsia="zh-CN"/>
        </w:rPr>
        <w:t>Hippocraticum</w:t>
      </w:r>
      <w:proofErr w:type="spellEnd"/>
      <w:r>
        <w:rPr>
          <w:rFonts w:ascii="Times New Roman" w:eastAsia="SimSun" w:hAnsi="Times New Roman" w:cs="Times New Roman"/>
          <w:sz w:val="24"/>
          <w:szCs w:val="24"/>
          <w:lang w:eastAsia="zh-CN"/>
        </w:rPr>
        <w:t xml:space="preserve"> descreve o caso de Nicanor, que entrava em pânico ao ouvir flautas em banquetes, atribuída a um "excesso de bile</w:t>
      </w:r>
      <w:proofErr w:type="gramStart"/>
      <w:r>
        <w:rPr>
          <w:rFonts w:ascii="Times New Roman" w:eastAsia="SimSun" w:hAnsi="Times New Roman" w:cs="Times New Roman"/>
          <w:sz w:val="24"/>
          <w:szCs w:val="24"/>
          <w:lang w:eastAsia="zh-CN"/>
        </w:rPr>
        <w:t>" .</w:t>
      </w:r>
      <w:proofErr w:type="gramEnd"/>
      <w:r>
        <w:rPr>
          <w:rFonts w:ascii="Times New Roman" w:eastAsia="SimSun" w:hAnsi="Times New Roman" w:cs="Times New Roman"/>
          <w:sz w:val="24"/>
          <w:szCs w:val="24"/>
          <w:lang w:eastAsia="zh-CN"/>
        </w:rPr>
        <w:t xml:space="preserve">  Na Roma Antiga, o termo </w:t>
      </w:r>
      <w:proofErr w:type="spellStart"/>
      <w:r>
        <w:rPr>
          <w:rFonts w:ascii="Times New Roman" w:eastAsia="SimSun" w:hAnsi="Times New Roman" w:cs="Times New Roman"/>
          <w:i/>
          <w:iCs/>
          <w:sz w:val="24"/>
          <w:szCs w:val="24"/>
          <w:lang w:eastAsia="zh-CN"/>
        </w:rPr>
        <w:t>angere</w:t>
      </w:r>
      <w:proofErr w:type="spellEnd"/>
      <w:r>
        <w:rPr>
          <w:rFonts w:ascii="Times New Roman" w:eastAsia="SimSun" w:hAnsi="Times New Roman" w:cs="Times New Roman"/>
          <w:sz w:val="24"/>
          <w:szCs w:val="24"/>
          <w:lang w:eastAsia="zh-CN"/>
        </w:rPr>
        <w:t> manteve essa conotação médica, mas foi também interpretado filosoficamente pelos estoicos, como Sêneca, como obstáculo à ataraxia. Em </w:t>
      </w:r>
      <w:r>
        <w:rPr>
          <w:rFonts w:ascii="Times New Roman" w:eastAsia="SimSun" w:hAnsi="Times New Roman" w:cs="Times New Roman"/>
          <w:i/>
          <w:iCs/>
          <w:sz w:val="24"/>
          <w:szCs w:val="24"/>
          <w:lang w:eastAsia="zh-CN"/>
        </w:rPr>
        <w:t xml:space="preserve">De </w:t>
      </w:r>
      <w:proofErr w:type="spellStart"/>
      <w:r>
        <w:rPr>
          <w:rFonts w:ascii="Times New Roman" w:eastAsia="SimSun" w:hAnsi="Times New Roman" w:cs="Times New Roman"/>
          <w:i/>
          <w:iCs/>
          <w:sz w:val="24"/>
          <w:szCs w:val="24"/>
          <w:lang w:eastAsia="zh-CN"/>
        </w:rPr>
        <w:t>Tranquillitate</w:t>
      </w:r>
      <w:proofErr w:type="spellEnd"/>
      <w:r>
        <w:rPr>
          <w:rFonts w:ascii="Times New Roman" w:eastAsia="SimSun" w:hAnsi="Times New Roman" w:cs="Times New Roman"/>
          <w:i/>
          <w:iCs/>
          <w:sz w:val="24"/>
          <w:szCs w:val="24"/>
          <w:lang w:eastAsia="zh-CN"/>
        </w:rPr>
        <w:t xml:space="preserve"> Animi</w:t>
      </w:r>
      <w:r>
        <w:rPr>
          <w:rFonts w:ascii="Times New Roman" w:eastAsia="SimSun" w:hAnsi="Times New Roman" w:cs="Times New Roman"/>
          <w:sz w:val="24"/>
          <w:szCs w:val="24"/>
          <w:lang w:eastAsia="zh-CN"/>
        </w:rPr>
        <w:t>, ele argumentava que o medo da morte - e não a morte em si - era a raiz do sofrimento humano, antecipando princípios que séculos depois fundamentariam a terapia cognitivo-comportamental.</w:t>
      </w:r>
    </w:p>
    <w:p w14:paraId="4620333F" w14:textId="77777777" w:rsidR="0003312E" w:rsidRDefault="00000000">
      <w:pPr>
        <w:spacing w:after="0" w:line="360" w:lineRule="auto"/>
        <w:ind w:firstLine="709"/>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Na Idade Média, a ansiedade foi reinterpretada pela teologia, sendo vista como </w:t>
      </w:r>
      <w:r>
        <w:rPr>
          <w:rFonts w:ascii="Times New Roman" w:eastAsia="SimSun" w:hAnsi="Times New Roman" w:cs="Times New Roman"/>
          <w:i/>
          <w:iCs/>
          <w:sz w:val="24"/>
          <w:szCs w:val="24"/>
          <w:lang w:eastAsia="zh-CN"/>
        </w:rPr>
        <w:t>acedia</w:t>
      </w:r>
      <w:r>
        <w:rPr>
          <w:rFonts w:ascii="Times New Roman" w:eastAsia="SimSun" w:hAnsi="Times New Roman" w:cs="Times New Roman"/>
          <w:sz w:val="24"/>
          <w:szCs w:val="24"/>
          <w:lang w:eastAsia="zh-CN"/>
        </w:rPr>
        <w:t>, um pecado espiritual que afastava o indivíduo de Deus. Santo Tomás de Aquino, na </w:t>
      </w:r>
      <w:r>
        <w:rPr>
          <w:rFonts w:ascii="Times New Roman" w:eastAsia="SimSun" w:hAnsi="Times New Roman" w:cs="Times New Roman"/>
          <w:i/>
          <w:iCs/>
          <w:sz w:val="24"/>
          <w:szCs w:val="24"/>
          <w:lang w:eastAsia="zh-CN"/>
        </w:rPr>
        <w:t>Suma Teológica</w:t>
      </w:r>
      <w:r>
        <w:rPr>
          <w:rFonts w:ascii="Times New Roman" w:eastAsia="SimSun" w:hAnsi="Times New Roman" w:cs="Times New Roman"/>
          <w:sz w:val="24"/>
          <w:szCs w:val="24"/>
          <w:lang w:eastAsia="zh-CN"/>
        </w:rPr>
        <w:t>, a associava à </w:t>
      </w:r>
      <w:proofErr w:type="spellStart"/>
      <w:r>
        <w:rPr>
          <w:rFonts w:ascii="Times New Roman" w:eastAsia="SimSun" w:hAnsi="Times New Roman" w:cs="Times New Roman"/>
          <w:i/>
          <w:iCs/>
          <w:sz w:val="24"/>
          <w:szCs w:val="24"/>
          <w:lang w:eastAsia="zh-CN"/>
        </w:rPr>
        <w:t>tristitia</w:t>
      </w:r>
      <w:proofErr w:type="spellEnd"/>
      <w:r>
        <w:rPr>
          <w:rFonts w:ascii="Times New Roman" w:eastAsia="SimSun" w:hAnsi="Times New Roman" w:cs="Times New Roman"/>
          <w:sz w:val="24"/>
          <w:szCs w:val="24"/>
          <w:lang w:eastAsia="zh-CN"/>
        </w:rPr>
        <w:t xml:space="preserve">, diferenciando-a do medo, que possuía um objeto definido. Tratamentos incluíam orações, jejuns e exorcismos, refletindo uma visão da ansiedade como prova divina ou possessão </w:t>
      </w:r>
      <w:proofErr w:type="gramStart"/>
      <w:r>
        <w:rPr>
          <w:rFonts w:ascii="Times New Roman" w:eastAsia="SimSun" w:hAnsi="Times New Roman" w:cs="Times New Roman"/>
          <w:sz w:val="24"/>
          <w:szCs w:val="24"/>
          <w:lang w:eastAsia="zh-CN"/>
        </w:rPr>
        <w:t>maligna .</w:t>
      </w:r>
      <w:proofErr w:type="gramEnd"/>
      <w:r>
        <w:rPr>
          <w:rFonts w:ascii="Times New Roman" w:eastAsia="SimSun" w:hAnsi="Times New Roman" w:cs="Times New Roman"/>
          <w:sz w:val="24"/>
          <w:szCs w:val="24"/>
          <w:lang w:eastAsia="zh-CN"/>
        </w:rPr>
        <w:t xml:space="preserve"> </w:t>
      </w:r>
    </w:p>
    <w:p w14:paraId="5C5AD2EC" w14:textId="77777777" w:rsidR="0003312E" w:rsidRDefault="00000000">
      <w:pPr>
        <w:spacing w:after="0" w:line="360" w:lineRule="auto"/>
        <w:ind w:firstLine="709"/>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lastRenderedPageBreak/>
        <w:t>No século XIX, Kierkegaard promoveu uma virada conceitual, vendo a ansiedade como "possibilidade da possibilidade", condição para que o ser humano se tornasse autêntico. Já no início do século XX, Sigmund Freud, a partir da psicanálise, ofereceu outra revolução conceitual. Em </w:t>
      </w:r>
      <w:r>
        <w:rPr>
          <w:rFonts w:ascii="Times New Roman" w:eastAsia="SimSun" w:hAnsi="Times New Roman" w:cs="Times New Roman"/>
          <w:i/>
          <w:iCs/>
          <w:sz w:val="24"/>
          <w:szCs w:val="24"/>
          <w:lang w:eastAsia="zh-CN"/>
        </w:rPr>
        <w:t>Inibições, Sintomas e Ansiedade</w:t>
      </w:r>
      <w:r>
        <w:rPr>
          <w:rFonts w:ascii="Times New Roman" w:eastAsia="SimSun" w:hAnsi="Times New Roman" w:cs="Times New Roman"/>
          <w:sz w:val="24"/>
          <w:szCs w:val="24"/>
          <w:lang w:eastAsia="zh-CN"/>
        </w:rPr>
        <w:t xml:space="preserve"> (1926), identificava-a como alerta do ego contra pulsões reprimidas. Ele distinguia ansiedade real, ligada a perigo externo, da neurótica, sem objeto definido, distinção que ecoa nas classificações modernas do </w:t>
      </w:r>
      <w:proofErr w:type="gramStart"/>
      <w:r>
        <w:rPr>
          <w:rFonts w:ascii="Times New Roman" w:eastAsia="SimSun" w:hAnsi="Times New Roman" w:cs="Times New Roman"/>
          <w:sz w:val="24"/>
          <w:szCs w:val="24"/>
          <w:lang w:eastAsia="zh-CN"/>
        </w:rPr>
        <w:t>DSM .</w:t>
      </w:r>
      <w:proofErr w:type="gramEnd"/>
      <w:r>
        <w:rPr>
          <w:rFonts w:ascii="Times New Roman" w:eastAsia="SimSun" w:hAnsi="Times New Roman" w:cs="Times New Roman"/>
          <w:sz w:val="24"/>
          <w:szCs w:val="24"/>
          <w:lang w:eastAsia="zh-CN"/>
        </w:rPr>
        <w:t xml:space="preserve">  O século XX assistiu à medicalização progressiva da ansiedade, com o DSM-I (1952) classificando-a como "reação psiconeurótica", e o DSM-III (1980) introduzindo categorias específicas, como transtorno de pânico e TOC, fundamentadas em evidências </w:t>
      </w:r>
      <w:proofErr w:type="gramStart"/>
      <w:r>
        <w:rPr>
          <w:rFonts w:ascii="Times New Roman" w:eastAsia="SimSun" w:hAnsi="Times New Roman" w:cs="Times New Roman"/>
          <w:sz w:val="24"/>
          <w:szCs w:val="24"/>
          <w:lang w:eastAsia="zh-CN"/>
        </w:rPr>
        <w:t>neurobiológicas .</w:t>
      </w:r>
      <w:proofErr w:type="gramEnd"/>
      <w:r>
        <w:rPr>
          <w:rFonts w:ascii="Times New Roman" w:eastAsia="SimSun" w:hAnsi="Times New Roman" w:cs="Times New Roman"/>
          <w:sz w:val="24"/>
          <w:szCs w:val="24"/>
          <w:lang w:eastAsia="zh-CN"/>
        </w:rPr>
        <w:t xml:space="preserve">  No século XXI, a neurociência detalha os circuitos cerebrais da ansiedade e a hiperconectividade digital amplifica fenômenos como a FOMO (Fear </w:t>
      </w:r>
      <w:proofErr w:type="spellStart"/>
      <w:r>
        <w:rPr>
          <w:rFonts w:ascii="Times New Roman" w:eastAsia="SimSun" w:hAnsi="Times New Roman" w:cs="Times New Roman"/>
          <w:sz w:val="24"/>
          <w:szCs w:val="24"/>
          <w:lang w:eastAsia="zh-CN"/>
        </w:rPr>
        <w:t>Of</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Missing</w:t>
      </w:r>
      <w:proofErr w:type="spellEnd"/>
      <w:r>
        <w:rPr>
          <w:rFonts w:ascii="Times New Roman" w:eastAsia="SimSun" w:hAnsi="Times New Roman" w:cs="Times New Roman"/>
          <w:sz w:val="24"/>
          <w:szCs w:val="24"/>
          <w:lang w:eastAsia="zh-CN"/>
        </w:rPr>
        <w:t xml:space="preserve"> Out), refletindo novas formas de ansiedade social.</w:t>
      </w:r>
    </w:p>
    <w:p w14:paraId="235A9C2D" w14:textId="77777777" w:rsidR="0003312E" w:rsidRDefault="0003312E">
      <w:pPr>
        <w:spacing w:after="0" w:line="360" w:lineRule="auto"/>
        <w:ind w:firstLine="709"/>
        <w:jc w:val="both"/>
        <w:rPr>
          <w:rFonts w:ascii="Times New Roman" w:eastAsia="SimSun" w:hAnsi="Times New Roman" w:cs="Times New Roman"/>
          <w:b/>
          <w:bCs/>
          <w:sz w:val="24"/>
          <w:szCs w:val="24"/>
          <w:lang w:eastAsia="zh-CN"/>
        </w:rPr>
      </w:pPr>
    </w:p>
    <w:p w14:paraId="66262829" w14:textId="77777777" w:rsidR="0003312E" w:rsidRDefault="00000000">
      <w:pPr>
        <w:spacing w:after="0" w:line="360" w:lineRule="auto"/>
        <w:ind w:firstLine="709"/>
        <w:jc w:val="both"/>
        <w:rPr>
          <w:rFonts w:ascii="Times New Roman" w:eastAsia="SimSun" w:hAnsi="Times New Roman" w:cs="Times New Roman"/>
          <w:sz w:val="24"/>
          <w:szCs w:val="24"/>
          <w:lang w:eastAsia="zh-CN"/>
        </w:rPr>
      </w:pPr>
      <w:r>
        <w:rPr>
          <w:rFonts w:ascii="Times New Roman" w:eastAsia="SimSun" w:hAnsi="Times New Roman" w:cs="Times New Roman"/>
          <w:b/>
          <w:bCs/>
          <w:sz w:val="24"/>
          <w:szCs w:val="24"/>
          <w:lang w:eastAsia="zh-CN"/>
        </w:rPr>
        <w:t>Em Essência: as Quatro Dimensões da Ansiedade</w:t>
      </w:r>
    </w:p>
    <w:p w14:paraId="60DFA77A" w14:textId="77777777" w:rsidR="0003312E" w:rsidRDefault="00000000">
      <w:pPr>
        <w:spacing w:after="0" w:line="360" w:lineRule="auto"/>
        <w:ind w:firstLine="709"/>
        <w:jc w:val="both"/>
        <w:rPr>
          <w:rFonts w:ascii="Times New Roman" w:eastAsia="SimSun" w:hAnsi="Times New Roman" w:cs="Times New Roman"/>
          <w:sz w:val="24"/>
          <w:szCs w:val="24"/>
          <w:lang w:eastAsia="zh-CN"/>
        </w:rPr>
      </w:pPr>
      <w:r>
        <w:rPr>
          <w:rFonts w:ascii="Times New Roman" w:eastAsia="SimSun" w:hAnsi="Times New Roman" w:cs="Times New Roman"/>
          <w:b/>
          <w:bCs/>
          <w:sz w:val="24"/>
          <w:szCs w:val="24"/>
          <w:lang w:eastAsia="zh-CN"/>
        </w:rPr>
        <w:t>1. A Dimensão Etimológica: O Aperto que Fala</w:t>
      </w:r>
    </w:p>
    <w:p w14:paraId="7F28D373" w14:textId="77777777" w:rsidR="0003312E" w:rsidRDefault="00000000">
      <w:pPr>
        <w:spacing w:after="0" w:line="360" w:lineRule="auto"/>
        <w:ind w:firstLine="709"/>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A própria palavra "ansiedade" carrega em si uma violência física ancestral. Vem do latim </w:t>
      </w:r>
      <w:proofErr w:type="spellStart"/>
      <w:r>
        <w:rPr>
          <w:rFonts w:ascii="Times New Roman" w:eastAsia="SimSun" w:hAnsi="Times New Roman" w:cs="Times New Roman"/>
          <w:i/>
          <w:iCs/>
          <w:sz w:val="24"/>
          <w:szCs w:val="24"/>
          <w:lang w:eastAsia="zh-CN"/>
        </w:rPr>
        <w:t>angere</w:t>
      </w:r>
      <w:proofErr w:type="spellEnd"/>
      <w:r>
        <w:rPr>
          <w:rFonts w:ascii="Times New Roman" w:eastAsia="SimSun" w:hAnsi="Times New Roman" w:cs="Times New Roman"/>
          <w:sz w:val="24"/>
          <w:szCs w:val="24"/>
          <w:lang w:eastAsia="zh-CN"/>
        </w:rPr>
        <w:t> ("apertar", "sufocar") e do grego </w:t>
      </w:r>
      <w:proofErr w:type="spellStart"/>
      <w:r>
        <w:rPr>
          <w:rFonts w:ascii="Times New Roman" w:eastAsia="SimSun" w:hAnsi="Times New Roman" w:cs="Times New Roman"/>
          <w:i/>
          <w:iCs/>
          <w:sz w:val="24"/>
          <w:szCs w:val="24"/>
          <w:lang w:eastAsia="zh-CN"/>
        </w:rPr>
        <w:t>ánkhō</w:t>
      </w:r>
      <w:proofErr w:type="spellEnd"/>
      <w:r>
        <w:rPr>
          <w:rFonts w:ascii="Times New Roman" w:eastAsia="SimSun" w:hAnsi="Times New Roman" w:cs="Times New Roman"/>
          <w:sz w:val="24"/>
          <w:szCs w:val="24"/>
          <w:lang w:eastAsia="zh-CN"/>
        </w:rPr>
        <w:t> ("estrangular"), revelando uma profunda conexão entre opressão corporal e sofrimento existencial. Esta etimologia explica por que tantas línguas descrevem a ansiedade como sensação de constrição - do hebraico bíblico </w:t>
      </w:r>
      <w:proofErr w:type="spellStart"/>
      <w:r>
        <w:rPr>
          <w:rFonts w:ascii="Times New Roman" w:eastAsia="SimSun" w:hAnsi="Times New Roman" w:cs="Times New Roman"/>
          <w:i/>
          <w:iCs/>
          <w:sz w:val="24"/>
          <w:szCs w:val="24"/>
          <w:lang w:eastAsia="zh-CN"/>
        </w:rPr>
        <w:t>tsar</w:t>
      </w:r>
      <w:proofErr w:type="spellEnd"/>
      <w:r>
        <w:rPr>
          <w:rFonts w:ascii="Times New Roman" w:eastAsia="SimSun" w:hAnsi="Times New Roman" w:cs="Times New Roman"/>
          <w:sz w:val="24"/>
          <w:szCs w:val="24"/>
          <w:lang w:eastAsia="zh-CN"/>
        </w:rPr>
        <w:t> ("estreiteza") ao alemão </w:t>
      </w:r>
      <w:proofErr w:type="spellStart"/>
      <w:r>
        <w:rPr>
          <w:rFonts w:ascii="Times New Roman" w:eastAsia="SimSun" w:hAnsi="Times New Roman" w:cs="Times New Roman"/>
          <w:i/>
          <w:iCs/>
          <w:sz w:val="24"/>
          <w:szCs w:val="24"/>
          <w:lang w:eastAsia="zh-CN"/>
        </w:rPr>
        <w:t>Angst</w:t>
      </w:r>
      <w:proofErr w:type="spellEnd"/>
      <w:r>
        <w:rPr>
          <w:rFonts w:ascii="Times New Roman" w:eastAsia="SimSun" w:hAnsi="Times New Roman" w:cs="Times New Roman"/>
          <w:sz w:val="24"/>
          <w:szCs w:val="24"/>
          <w:lang w:eastAsia="zh-CN"/>
        </w:rPr>
        <w:t>, que abrange tanto medo existencial quanto terror físico. A imagem universal do aperto no peito, da garganta fechada, mostra como a linguagem capturou com precisão a experiência visceral deste estado.</w:t>
      </w:r>
    </w:p>
    <w:p w14:paraId="5C44E4B4" w14:textId="77777777" w:rsidR="0003312E" w:rsidRDefault="0003312E">
      <w:pPr>
        <w:spacing w:after="0" w:line="360" w:lineRule="auto"/>
        <w:ind w:firstLine="709"/>
        <w:jc w:val="both"/>
        <w:rPr>
          <w:rFonts w:ascii="Times New Roman" w:eastAsia="SimSun" w:hAnsi="Times New Roman" w:cs="Times New Roman"/>
          <w:b/>
          <w:bCs/>
          <w:sz w:val="24"/>
          <w:szCs w:val="24"/>
          <w:lang w:eastAsia="zh-CN"/>
        </w:rPr>
      </w:pPr>
    </w:p>
    <w:p w14:paraId="5A06A608" w14:textId="77777777" w:rsidR="0003312E" w:rsidRDefault="00000000">
      <w:pPr>
        <w:spacing w:after="0" w:line="360" w:lineRule="auto"/>
        <w:ind w:firstLine="709"/>
        <w:jc w:val="both"/>
        <w:rPr>
          <w:rFonts w:ascii="Times New Roman" w:eastAsia="SimSun" w:hAnsi="Times New Roman" w:cs="Times New Roman"/>
          <w:sz w:val="24"/>
          <w:szCs w:val="24"/>
          <w:lang w:eastAsia="zh-CN"/>
        </w:rPr>
      </w:pPr>
      <w:r>
        <w:rPr>
          <w:rFonts w:ascii="Times New Roman" w:eastAsia="SimSun" w:hAnsi="Times New Roman" w:cs="Times New Roman"/>
          <w:b/>
          <w:bCs/>
          <w:sz w:val="24"/>
          <w:szCs w:val="24"/>
          <w:lang w:eastAsia="zh-CN"/>
        </w:rPr>
        <w:t>2. A Dimensão Histórico-Clínica: Da Filosofia à Medicalização</w:t>
      </w:r>
    </w:p>
    <w:p w14:paraId="4C1C562D" w14:textId="77777777" w:rsidR="0003312E" w:rsidRDefault="00000000">
      <w:pPr>
        <w:spacing w:after="0" w:line="360" w:lineRule="auto"/>
        <w:ind w:firstLine="709"/>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A compreensão da ansiedade percorreu um caminho extraordinário: começou como desequilíbrio humoral na medicina grega, transformou-se em pecado espiritual na Idade Média, foi elevada a condição existencial por Kierkegaard no século XIX, e finalmente foi </w:t>
      </w:r>
      <w:proofErr w:type="spellStart"/>
      <w:r>
        <w:rPr>
          <w:rFonts w:ascii="Times New Roman" w:eastAsia="SimSun" w:hAnsi="Times New Roman" w:cs="Times New Roman"/>
          <w:sz w:val="24"/>
          <w:szCs w:val="24"/>
          <w:lang w:eastAsia="zh-CN"/>
        </w:rPr>
        <w:t>medicalizada</w:t>
      </w:r>
      <w:proofErr w:type="spellEnd"/>
      <w:r>
        <w:rPr>
          <w:rFonts w:ascii="Times New Roman" w:eastAsia="SimSun" w:hAnsi="Times New Roman" w:cs="Times New Roman"/>
          <w:sz w:val="24"/>
          <w:szCs w:val="24"/>
          <w:lang w:eastAsia="zh-CN"/>
        </w:rPr>
        <w:t xml:space="preserve"> no século XX através de classificações como o DSM. Uma análise aprofundada do termo latino "</w:t>
      </w:r>
      <w:proofErr w:type="spellStart"/>
      <w:r>
        <w:rPr>
          <w:rFonts w:ascii="Times New Roman" w:eastAsia="SimSun" w:hAnsi="Times New Roman" w:cs="Times New Roman"/>
          <w:sz w:val="24"/>
          <w:szCs w:val="24"/>
          <w:lang w:eastAsia="zh-CN"/>
        </w:rPr>
        <w:t>anxietas</w:t>
      </w:r>
      <w:proofErr w:type="spellEnd"/>
      <w:r>
        <w:rPr>
          <w:rFonts w:ascii="Times New Roman" w:eastAsia="SimSun" w:hAnsi="Times New Roman" w:cs="Times New Roman"/>
          <w:sz w:val="24"/>
          <w:szCs w:val="24"/>
          <w:lang w:eastAsia="zh-CN"/>
        </w:rPr>
        <w:t>" (LEWIS; SHORT, 1879) revela um conceito psicológico complexo já bem estabelecido no pensamento clássico. Os romanos faziam distinções precisas: Cícero, nas </w:t>
      </w:r>
      <w:proofErr w:type="spellStart"/>
      <w:r>
        <w:rPr>
          <w:rFonts w:ascii="Times New Roman" w:eastAsia="SimSun" w:hAnsi="Times New Roman" w:cs="Times New Roman"/>
          <w:i/>
          <w:iCs/>
          <w:sz w:val="24"/>
          <w:szCs w:val="24"/>
          <w:lang w:eastAsia="zh-CN"/>
        </w:rPr>
        <w:t>Tusculanas</w:t>
      </w:r>
      <w:proofErr w:type="spellEnd"/>
      <w:r>
        <w:rPr>
          <w:rFonts w:ascii="Times New Roman" w:eastAsia="SimSun" w:hAnsi="Times New Roman" w:cs="Times New Roman"/>
          <w:sz w:val="24"/>
          <w:szCs w:val="24"/>
          <w:lang w:eastAsia="zh-CN"/>
        </w:rPr>
        <w:t>, estabelecia uma nuançada diferença entre "</w:t>
      </w:r>
      <w:proofErr w:type="spellStart"/>
      <w:r>
        <w:rPr>
          <w:rFonts w:ascii="Times New Roman" w:eastAsia="SimSun" w:hAnsi="Times New Roman" w:cs="Times New Roman"/>
          <w:sz w:val="24"/>
          <w:szCs w:val="24"/>
          <w:lang w:eastAsia="zh-CN"/>
        </w:rPr>
        <w:t>anxietas</w:t>
      </w:r>
      <w:proofErr w:type="spellEnd"/>
      <w:r>
        <w:rPr>
          <w:rFonts w:ascii="Times New Roman" w:eastAsia="SimSun" w:hAnsi="Times New Roman" w:cs="Times New Roman"/>
          <w:sz w:val="24"/>
          <w:szCs w:val="24"/>
          <w:lang w:eastAsia="zh-CN"/>
        </w:rPr>
        <w:t>" (ansiedade persistente) e "</w:t>
      </w:r>
      <w:proofErr w:type="spellStart"/>
      <w:r>
        <w:rPr>
          <w:rFonts w:ascii="Times New Roman" w:eastAsia="SimSun" w:hAnsi="Times New Roman" w:cs="Times New Roman"/>
          <w:sz w:val="24"/>
          <w:szCs w:val="24"/>
          <w:lang w:eastAsia="zh-CN"/>
        </w:rPr>
        <w:t>angor</w:t>
      </w:r>
      <w:proofErr w:type="spellEnd"/>
      <w:r>
        <w:rPr>
          <w:rFonts w:ascii="Times New Roman" w:eastAsia="SimSun" w:hAnsi="Times New Roman" w:cs="Times New Roman"/>
          <w:sz w:val="24"/>
          <w:szCs w:val="24"/>
          <w:lang w:eastAsia="zh-CN"/>
        </w:rPr>
        <w:t>" (angústia momentânea), enquanto Sêneca, em </w:t>
      </w:r>
      <w:r>
        <w:rPr>
          <w:rFonts w:ascii="Times New Roman" w:eastAsia="SimSun" w:hAnsi="Times New Roman" w:cs="Times New Roman"/>
          <w:i/>
          <w:iCs/>
          <w:sz w:val="24"/>
          <w:szCs w:val="24"/>
          <w:lang w:eastAsia="zh-CN"/>
        </w:rPr>
        <w:t xml:space="preserve">De </w:t>
      </w:r>
      <w:proofErr w:type="spellStart"/>
      <w:r>
        <w:rPr>
          <w:rFonts w:ascii="Times New Roman" w:eastAsia="SimSun" w:hAnsi="Times New Roman" w:cs="Times New Roman"/>
          <w:i/>
          <w:iCs/>
          <w:sz w:val="24"/>
          <w:szCs w:val="24"/>
          <w:lang w:eastAsia="zh-CN"/>
        </w:rPr>
        <w:t>Beneficiis</w:t>
      </w:r>
      <w:proofErr w:type="spellEnd"/>
      <w:r>
        <w:rPr>
          <w:rFonts w:ascii="Times New Roman" w:eastAsia="SimSun" w:hAnsi="Times New Roman" w:cs="Times New Roman"/>
          <w:sz w:val="24"/>
          <w:szCs w:val="24"/>
          <w:lang w:eastAsia="zh-CN"/>
        </w:rPr>
        <w:t>, contrastava a "</w:t>
      </w:r>
      <w:proofErr w:type="spellStart"/>
      <w:r>
        <w:rPr>
          <w:rFonts w:ascii="Times New Roman" w:eastAsia="SimSun" w:hAnsi="Times New Roman" w:cs="Times New Roman"/>
          <w:sz w:val="24"/>
          <w:szCs w:val="24"/>
          <w:lang w:eastAsia="zh-CN"/>
        </w:rPr>
        <w:t>anxietas</w:t>
      </w:r>
      <w:proofErr w:type="spellEnd"/>
      <w:r>
        <w:rPr>
          <w:rFonts w:ascii="Times New Roman" w:eastAsia="SimSun" w:hAnsi="Times New Roman" w:cs="Times New Roman"/>
          <w:sz w:val="24"/>
          <w:szCs w:val="24"/>
          <w:lang w:eastAsia="zh-CN"/>
        </w:rPr>
        <w:t>" com a tranquilidade que emana da consciência de um amor verdadeiro.</w:t>
      </w:r>
    </w:p>
    <w:p w14:paraId="7622CAF2" w14:textId="77777777" w:rsidR="0003312E" w:rsidRDefault="00000000">
      <w:pPr>
        <w:spacing w:after="0" w:line="360" w:lineRule="auto"/>
        <w:ind w:firstLine="709"/>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lastRenderedPageBreak/>
        <w:t>Kierkegaard representou uma virada crucial ao ver a ansiedade não como patologia, mas como "vertigem da liberdade" - a consciência angustiante das infinitas possibilidades que se abrem diante de nós. Os autores clássicos já haviam captado essa dimensão existencial: Ovídio, nos </w:t>
      </w:r>
      <w:r>
        <w:rPr>
          <w:rFonts w:ascii="Times New Roman" w:eastAsia="SimSun" w:hAnsi="Times New Roman" w:cs="Times New Roman"/>
          <w:i/>
          <w:iCs/>
          <w:sz w:val="24"/>
          <w:szCs w:val="24"/>
          <w:lang w:eastAsia="zh-CN"/>
        </w:rPr>
        <w:t>Tristes</w:t>
      </w:r>
      <w:r>
        <w:rPr>
          <w:rFonts w:ascii="Times New Roman" w:eastAsia="SimSun" w:hAnsi="Times New Roman" w:cs="Times New Roman"/>
          <w:sz w:val="24"/>
          <w:szCs w:val="24"/>
          <w:lang w:eastAsia="zh-CN"/>
        </w:rPr>
        <w:t>, atribuía sua condição à "</w:t>
      </w:r>
      <w:proofErr w:type="spellStart"/>
      <w:r>
        <w:rPr>
          <w:rFonts w:ascii="Times New Roman" w:eastAsia="SimSun" w:hAnsi="Times New Roman" w:cs="Times New Roman"/>
          <w:sz w:val="24"/>
          <w:szCs w:val="24"/>
          <w:lang w:eastAsia="zh-CN"/>
        </w:rPr>
        <w:t>anxietas</w:t>
      </w:r>
      <w:proofErr w:type="spellEnd"/>
      <w:r>
        <w:rPr>
          <w:rFonts w:ascii="Times New Roman" w:eastAsia="SimSun" w:hAnsi="Times New Roman" w:cs="Times New Roman"/>
          <w:sz w:val="24"/>
          <w:szCs w:val="24"/>
          <w:lang w:eastAsia="zh-CN"/>
        </w:rPr>
        <w:t xml:space="preserve"> animi </w:t>
      </w:r>
      <w:proofErr w:type="spellStart"/>
      <w:r>
        <w:rPr>
          <w:rFonts w:ascii="Times New Roman" w:eastAsia="SimSun" w:hAnsi="Times New Roman" w:cs="Times New Roman"/>
          <w:sz w:val="24"/>
          <w:szCs w:val="24"/>
          <w:lang w:eastAsia="zh-CN"/>
        </w:rPr>
        <w:t>continuusque</w:t>
      </w:r>
      <w:proofErr w:type="spellEnd"/>
      <w:r>
        <w:rPr>
          <w:rFonts w:ascii="Times New Roman" w:eastAsia="SimSun" w:hAnsi="Times New Roman" w:cs="Times New Roman"/>
          <w:sz w:val="24"/>
          <w:szCs w:val="24"/>
          <w:lang w:eastAsia="zh-CN"/>
        </w:rPr>
        <w:t xml:space="preserve"> labor" (ansiedade da alma e trabalho contínuo), e Juvenal, nas </w:t>
      </w:r>
      <w:r>
        <w:rPr>
          <w:rFonts w:ascii="Times New Roman" w:eastAsia="SimSun" w:hAnsi="Times New Roman" w:cs="Times New Roman"/>
          <w:i/>
          <w:iCs/>
          <w:sz w:val="24"/>
          <w:szCs w:val="24"/>
          <w:lang w:eastAsia="zh-CN"/>
        </w:rPr>
        <w:t>Sátiras</w:t>
      </w:r>
      <w:r>
        <w:rPr>
          <w:rFonts w:ascii="Times New Roman" w:eastAsia="SimSun" w:hAnsi="Times New Roman" w:cs="Times New Roman"/>
          <w:sz w:val="24"/>
          <w:szCs w:val="24"/>
          <w:lang w:eastAsia="zh-CN"/>
        </w:rPr>
        <w:t xml:space="preserve">, retratava a "perpetua </w:t>
      </w:r>
      <w:proofErr w:type="spellStart"/>
      <w:r>
        <w:rPr>
          <w:rFonts w:ascii="Times New Roman" w:eastAsia="SimSun" w:hAnsi="Times New Roman" w:cs="Times New Roman"/>
          <w:sz w:val="24"/>
          <w:szCs w:val="24"/>
          <w:lang w:eastAsia="zh-CN"/>
        </w:rPr>
        <w:t>anxietas</w:t>
      </w:r>
      <w:proofErr w:type="spellEnd"/>
      <w:r>
        <w:rPr>
          <w:rFonts w:ascii="Times New Roman" w:eastAsia="SimSun" w:hAnsi="Times New Roman" w:cs="Times New Roman"/>
          <w:sz w:val="24"/>
          <w:szCs w:val="24"/>
          <w:lang w:eastAsia="zh-CN"/>
        </w:rPr>
        <w:t>" (ansiedade perpétua) que persiste mesmo durante as refeições. Esta visão filosófica contrastava radicalmente com a abordagem médica de sua época e antecipou em mais de um século a compreensão contemporânea da ansiedade como parte fundamental da condição humana.</w:t>
      </w:r>
    </w:p>
    <w:p w14:paraId="2FD09482" w14:textId="77777777" w:rsidR="0003312E" w:rsidRDefault="00000000">
      <w:pPr>
        <w:spacing w:after="0" w:line="360" w:lineRule="auto"/>
        <w:ind w:firstLine="709"/>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Notavelmente, o conceito transcende o âmbito individual: em Prudêncio, "</w:t>
      </w:r>
      <w:proofErr w:type="spellStart"/>
      <w:r>
        <w:rPr>
          <w:rFonts w:ascii="Times New Roman" w:eastAsia="SimSun" w:hAnsi="Times New Roman" w:cs="Times New Roman"/>
          <w:sz w:val="24"/>
          <w:szCs w:val="24"/>
          <w:lang w:eastAsia="zh-CN"/>
        </w:rPr>
        <w:t>Anxietas</w:t>
      </w:r>
      <w:proofErr w:type="spellEnd"/>
      <w:r>
        <w:rPr>
          <w:rFonts w:ascii="Times New Roman" w:eastAsia="SimSun" w:hAnsi="Times New Roman" w:cs="Times New Roman"/>
          <w:sz w:val="24"/>
          <w:szCs w:val="24"/>
          <w:lang w:eastAsia="zh-CN"/>
        </w:rPr>
        <w:t>" aparece personificada entre outros vícios na </w:t>
      </w:r>
      <w:proofErr w:type="spellStart"/>
      <w:r>
        <w:rPr>
          <w:rFonts w:ascii="Times New Roman" w:eastAsia="SimSun" w:hAnsi="Times New Roman" w:cs="Times New Roman"/>
          <w:i/>
          <w:iCs/>
          <w:sz w:val="24"/>
          <w:szCs w:val="24"/>
          <w:lang w:eastAsia="zh-CN"/>
        </w:rPr>
        <w:t>Psychomachia</w:t>
      </w:r>
      <w:proofErr w:type="spellEnd"/>
      <w:r>
        <w:rPr>
          <w:rFonts w:ascii="Times New Roman" w:eastAsia="SimSun" w:hAnsi="Times New Roman" w:cs="Times New Roman"/>
          <w:sz w:val="24"/>
          <w:szCs w:val="24"/>
          <w:lang w:eastAsia="zh-CN"/>
        </w:rPr>
        <w:t xml:space="preserve">, e em textos medievais como o de </w:t>
      </w:r>
      <w:proofErr w:type="spellStart"/>
      <w:r>
        <w:rPr>
          <w:rFonts w:ascii="Times New Roman" w:eastAsia="SimSun" w:hAnsi="Times New Roman" w:cs="Times New Roman"/>
          <w:sz w:val="24"/>
          <w:szCs w:val="24"/>
          <w:lang w:eastAsia="zh-CN"/>
        </w:rPr>
        <w:t>Bongiovanni</w:t>
      </w:r>
      <w:proofErr w:type="spellEnd"/>
      <w:r>
        <w:rPr>
          <w:rFonts w:ascii="Times New Roman" w:eastAsia="SimSun" w:hAnsi="Times New Roman" w:cs="Times New Roman"/>
          <w:sz w:val="24"/>
          <w:szCs w:val="24"/>
          <w:lang w:eastAsia="zh-CN"/>
        </w:rPr>
        <w:t xml:space="preserve"> da </w:t>
      </w:r>
      <w:proofErr w:type="spellStart"/>
      <w:r>
        <w:rPr>
          <w:rFonts w:ascii="Times New Roman" w:eastAsia="SimSun" w:hAnsi="Times New Roman" w:cs="Times New Roman"/>
          <w:sz w:val="24"/>
          <w:szCs w:val="24"/>
          <w:lang w:eastAsia="zh-CN"/>
        </w:rPr>
        <w:t>Cavriana</w:t>
      </w:r>
      <w:proofErr w:type="spellEnd"/>
      <w:r>
        <w:rPr>
          <w:rFonts w:ascii="Times New Roman" w:eastAsia="SimSun" w:hAnsi="Times New Roman" w:cs="Times New Roman"/>
          <w:sz w:val="24"/>
          <w:szCs w:val="24"/>
          <w:lang w:eastAsia="zh-CN"/>
        </w:rPr>
        <w:t xml:space="preserve">, adquire uma dimensão quase existencial, onde "est </w:t>
      </w:r>
      <w:proofErr w:type="spellStart"/>
      <w:r>
        <w:rPr>
          <w:rFonts w:ascii="Times New Roman" w:eastAsia="SimSun" w:hAnsi="Times New Roman" w:cs="Times New Roman"/>
          <w:sz w:val="24"/>
          <w:szCs w:val="24"/>
          <w:lang w:eastAsia="zh-CN"/>
        </w:rPr>
        <w:t>cibus</w:t>
      </w:r>
      <w:proofErr w:type="spellEnd"/>
      <w:r>
        <w:rPr>
          <w:rFonts w:ascii="Times New Roman" w:eastAsia="SimSun" w:hAnsi="Times New Roman" w:cs="Times New Roman"/>
          <w:sz w:val="24"/>
          <w:szCs w:val="24"/>
          <w:lang w:eastAsia="zh-CN"/>
        </w:rPr>
        <w:t xml:space="preserve"> </w:t>
      </w:r>
      <w:proofErr w:type="spellStart"/>
      <w:r>
        <w:rPr>
          <w:rFonts w:ascii="Times New Roman" w:eastAsia="SimSun" w:hAnsi="Times New Roman" w:cs="Times New Roman"/>
          <w:sz w:val="24"/>
          <w:szCs w:val="24"/>
          <w:lang w:eastAsia="zh-CN"/>
        </w:rPr>
        <w:t>anxietas</w:t>
      </w:r>
      <w:proofErr w:type="spellEnd"/>
      <w:r>
        <w:rPr>
          <w:rFonts w:ascii="Times New Roman" w:eastAsia="SimSun" w:hAnsi="Times New Roman" w:cs="Times New Roman"/>
          <w:sz w:val="24"/>
          <w:szCs w:val="24"/>
          <w:lang w:eastAsia="zh-CN"/>
        </w:rPr>
        <w:t>" (a ansiedade é [meu] alimento), descrevendo uma condição de profundo desespero. Esta análise demonstra que a "</w:t>
      </w:r>
      <w:proofErr w:type="spellStart"/>
      <w:r>
        <w:rPr>
          <w:rFonts w:ascii="Times New Roman" w:eastAsia="SimSun" w:hAnsi="Times New Roman" w:cs="Times New Roman"/>
          <w:sz w:val="24"/>
          <w:szCs w:val="24"/>
          <w:lang w:eastAsia="zh-CN"/>
        </w:rPr>
        <w:t>anxietas</w:t>
      </w:r>
      <w:proofErr w:type="spellEnd"/>
      <w:r>
        <w:rPr>
          <w:rFonts w:ascii="Times New Roman" w:eastAsia="SimSun" w:hAnsi="Times New Roman" w:cs="Times New Roman"/>
          <w:sz w:val="24"/>
          <w:szCs w:val="24"/>
          <w:lang w:eastAsia="zh-CN"/>
        </w:rPr>
        <w:t>" latina abarcava desde uma perturbação circunstancial até um estado patológico persistente, configurando-se como um conceito complexo na psicologia antiga que prenunciava tanto as abordagens clínicas modernas quanto as reflexões filosóficas existenciais.</w:t>
      </w:r>
    </w:p>
    <w:p w14:paraId="6FDE1CF6" w14:textId="77777777" w:rsidR="0003312E" w:rsidRDefault="0003312E">
      <w:pPr>
        <w:spacing w:after="0" w:line="360" w:lineRule="auto"/>
        <w:ind w:firstLine="709"/>
        <w:jc w:val="both"/>
        <w:rPr>
          <w:rFonts w:ascii="Times New Roman" w:eastAsia="SimSun" w:hAnsi="Times New Roman" w:cs="Times New Roman"/>
          <w:sz w:val="24"/>
          <w:szCs w:val="24"/>
          <w:lang w:eastAsia="zh-CN"/>
        </w:rPr>
      </w:pPr>
    </w:p>
    <w:p w14:paraId="3709EC20" w14:textId="77777777" w:rsidR="0003312E" w:rsidRDefault="00000000">
      <w:pPr>
        <w:spacing w:after="0" w:line="360" w:lineRule="auto"/>
        <w:ind w:firstLine="709"/>
        <w:jc w:val="both"/>
        <w:rPr>
          <w:rFonts w:ascii="Times New Roman" w:eastAsia="SimSun" w:hAnsi="Times New Roman" w:cs="Times New Roman"/>
          <w:sz w:val="24"/>
          <w:szCs w:val="24"/>
          <w:lang w:eastAsia="zh-CN"/>
        </w:rPr>
      </w:pPr>
      <w:r>
        <w:rPr>
          <w:rFonts w:ascii="Times New Roman" w:eastAsia="SimSun" w:hAnsi="Times New Roman" w:cs="Times New Roman"/>
          <w:b/>
          <w:bCs/>
          <w:sz w:val="24"/>
          <w:szCs w:val="24"/>
          <w:lang w:eastAsia="zh-CN"/>
        </w:rPr>
        <w:t>3. A Dimensão Neurocientífica: O Cérebro em Alerta Máximo</w:t>
      </w:r>
    </w:p>
    <w:p w14:paraId="12B44AB0" w14:textId="77777777" w:rsidR="0003312E" w:rsidRDefault="00000000">
      <w:pPr>
        <w:spacing w:after="0" w:line="360" w:lineRule="auto"/>
        <w:ind w:firstLine="709"/>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A neurociência contemporânea revela que a ansiedade é um sistema de alarme evolutivo que, em excesso, entra em curto-circuito. A amígdala cerebral apresenta hiperatividade mesmo a estímulos neutros, sequestrando recursos do córtex pré-frontal e dificultando a regulação emocional. Sob estresse crônico, o eixo HPA mantém níveis elevados de cortisol, o que pode levar a alterações na plasticidade sináptica e até a uma redução no volume do hipocampo, prejudicando a memória e alimentando a ruminação mental. Estes mecanismos explicam por que a ansiedade não é apenas uma experiência subjetiva, mas tem bases neurobiológicas mensuráveis que unem mente e corpo de forma inseparável.</w:t>
      </w:r>
    </w:p>
    <w:p w14:paraId="29A20B38" w14:textId="77777777" w:rsidR="0003312E" w:rsidRDefault="0003312E">
      <w:pPr>
        <w:spacing w:after="0" w:line="360" w:lineRule="auto"/>
        <w:ind w:firstLine="709"/>
        <w:jc w:val="both"/>
        <w:rPr>
          <w:rFonts w:ascii="Times New Roman" w:eastAsia="SimSun" w:hAnsi="Times New Roman" w:cs="Times New Roman"/>
          <w:b/>
          <w:bCs/>
          <w:sz w:val="24"/>
          <w:szCs w:val="24"/>
          <w:lang w:eastAsia="zh-CN"/>
        </w:rPr>
      </w:pPr>
    </w:p>
    <w:p w14:paraId="48952F8C" w14:textId="77777777" w:rsidR="0003312E" w:rsidRDefault="00000000">
      <w:pPr>
        <w:spacing w:after="0" w:line="360" w:lineRule="auto"/>
        <w:ind w:firstLine="709"/>
        <w:jc w:val="both"/>
        <w:rPr>
          <w:rFonts w:ascii="Times New Roman" w:eastAsia="SimSun" w:hAnsi="Times New Roman" w:cs="Times New Roman"/>
          <w:sz w:val="24"/>
          <w:szCs w:val="24"/>
          <w:lang w:eastAsia="zh-CN"/>
        </w:rPr>
      </w:pPr>
      <w:r>
        <w:rPr>
          <w:rFonts w:ascii="Times New Roman" w:eastAsia="SimSun" w:hAnsi="Times New Roman" w:cs="Times New Roman"/>
          <w:b/>
          <w:bCs/>
          <w:sz w:val="24"/>
          <w:szCs w:val="24"/>
          <w:lang w:eastAsia="zh-CN"/>
        </w:rPr>
        <w:t>4. A Dimensão Poético-Filosófica: A Vertigem da Liberdade</w:t>
      </w:r>
    </w:p>
    <w:p w14:paraId="1E4DDD49" w14:textId="77777777" w:rsidR="0003312E" w:rsidRDefault="00000000">
      <w:pPr>
        <w:spacing w:after="0" w:line="360" w:lineRule="auto"/>
        <w:ind w:firstLine="709"/>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Para além da neurociência e da clínica, a ansiedade permanece uma das metáforas mais poderosas da condição humana moderna. Kierkegaard via nela não uma patologia a ser eliminada, mas a "possibilidade da possibilidade" - o reconhecimento angustiante de que somos livres para escolher nosso destino. Esta visão foi radicalizada por Sartre com sua famosa afirmação de que "o homem está condenado a ser livre", mostrando que até a não-escolha é uma forma de escolha. Na cultura contemporânea, da pintura expressionista de Munch aos memes sobre crise existencial, a ansiedade tornou-se símbolo da pós-modernidade - o preço </w:t>
      </w:r>
      <w:r>
        <w:rPr>
          <w:rFonts w:ascii="Times New Roman" w:eastAsia="SimSun" w:hAnsi="Times New Roman" w:cs="Times New Roman"/>
          <w:sz w:val="24"/>
          <w:szCs w:val="24"/>
          <w:lang w:eastAsia="zh-CN"/>
        </w:rPr>
        <w:lastRenderedPageBreak/>
        <w:t>que pagamos pela consciência de nossa própria liberdade em um mundo de possibilidades infinitas.</w:t>
      </w:r>
    </w:p>
    <w:p w14:paraId="2C2F01AD" w14:textId="77777777" w:rsidR="0003312E" w:rsidRDefault="0003312E">
      <w:pPr>
        <w:spacing w:after="0" w:line="360" w:lineRule="auto"/>
        <w:ind w:firstLine="709"/>
        <w:jc w:val="both"/>
        <w:rPr>
          <w:rFonts w:ascii="Times New Roman" w:eastAsia="SimSun" w:hAnsi="Times New Roman" w:cs="Times New Roman"/>
          <w:b/>
          <w:bCs/>
          <w:sz w:val="24"/>
          <w:szCs w:val="24"/>
          <w:lang w:eastAsia="zh-CN"/>
        </w:rPr>
      </w:pPr>
    </w:p>
    <w:p w14:paraId="2260209E" w14:textId="77777777" w:rsidR="0003312E" w:rsidRDefault="00000000">
      <w:pPr>
        <w:spacing w:after="0" w:line="360" w:lineRule="auto"/>
        <w:ind w:firstLine="709"/>
        <w:jc w:val="both"/>
        <w:rPr>
          <w:rFonts w:ascii="Times New Roman" w:eastAsia="SimSun" w:hAnsi="Times New Roman" w:cs="Times New Roman"/>
          <w:sz w:val="24"/>
          <w:szCs w:val="24"/>
          <w:lang w:eastAsia="zh-CN"/>
        </w:rPr>
      </w:pPr>
      <w:r>
        <w:rPr>
          <w:rFonts w:ascii="Times New Roman" w:eastAsia="SimSun" w:hAnsi="Times New Roman" w:cs="Times New Roman"/>
          <w:b/>
          <w:bCs/>
          <w:sz w:val="24"/>
          <w:szCs w:val="24"/>
          <w:lang w:eastAsia="zh-CN"/>
        </w:rPr>
        <w:t>Do Aperto ao Abismo: Rumo à Ordem</w:t>
      </w:r>
    </w:p>
    <w:p w14:paraId="5CD00DE9" w14:textId="77777777" w:rsidR="0003312E" w:rsidRDefault="00000000">
      <w:pPr>
        <w:spacing w:after="0" w:line="360" w:lineRule="auto"/>
        <w:ind w:firstLine="709"/>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Se a ansiedade, com seu aperto existencial e sua vertigem da liberdade, representa o sistema de alarme da consciência – aquela vigilância constante diante do abismo das possibilidades – seu colapso total nos leva ao pânico: não mais o medo diante do nada, mas o terror diante do tudo. Trata-se de uma verdadeira tempestade neuroquímica que dissolve as fronteiras entre percepção e realidade, paralisando nossa capacidade de raciocinar e nos subjugando completamente ao medo. Mas e se a consciência, em vez de se render a esse caos, pudesse realizar uma revolução interna, transformando a constrição em expansão? É precisamente essa possibilidade que nos aguarda no próximo capítulo, onde deixamos para trás a angústia para adentrar um território em que a luz da consciência irradia uma clareza soberana. Assim, do aperto que sufoca à expansão serena, seguimos em direção à eutimia, explorando como a mente pode encontrar seu equilíbrio ideal mesmo em meio às tempestades da existência.</w:t>
      </w:r>
    </w:p>
    <w:p w14:paraId="34B28C8C" w14:textId="77777777" w:rsidR="0003312E" w:rsidRDefault="0003312E">
      <w:pPr>
        <w:spacing w:after="0" w:line="360" w:lineRule="auto"/>
        <w:ind w:firstLine="709"/>
        <w:jc w:val="both"/>
        <w:rPr>
          <w:rFonts w:ascii="Times New Roman" w:eastAsia="SimSun" w:hAnsi="Times New Roman" w:cs="Times New Roman"/>
          <w:sz w:val="24"/>
          <w:szCs w:val="24"/>
          <w:lang w:eastAsia="zh-CN"/>
        </w:rPr>
      </w:pPr>
    </w:p>
    <w:p w14:paraId="40C695B9" w14:textId="77777777" w:rsidR="0003312E" w:rsidRDefault="0003312E">
      <w:pPr>
        <w:pStyle w:val="PargrafodaLista"/>
        <w:spacing w:after="0" w:line="360" w:lineRule="auto"/>
        <w:ind w:left="0" w:firstLine="709"/>
        <w:jc w:val="both"/>
        <w:rPr>
          <w:rFonts w:ascii="Times New Roman" w:eastAsia="SimSun" w:hAnsi="Times New Roman" w:cs="Times New Roman"/>
          <w:sz w:val="24"/>
          <w:szCs w:val="24"/>
          <w:lang w:eastAsia="zh-CN"/>
        </w:rPr>
      </w:pPr>
    </w:p>
    <w:p w14:paraId="1D6AC342" w14:textId="77777777" w:rsidR="0003312E" w:rsidRDefault="00000000">
      <w:pPr>
        <w:spacing w:after="0" w:line="360" w:lineRule="auto"/>
        <w:ind w:firstLine="709"/>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tbl>
      <w:tblPr>
        <w:tblStyle w:val="Tabelacomgrade"/>
        <w:tblW w:w="850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Look w:val="04A0" w:firstRow="1" w:lastRow="0" w:firstColumn="1" w:lastColumn="0" w:noHBand="0" w:noVBand="1"/>
      </w:tblPr>
      <w:tblGrid>
        <w:gridCol w:w="4353"/>
        <w:gridCol w:w="4152"/>
      </w:tblGrid>
      <w:tr w:rsidR="0003312E" w14:paraId="3852BE1A" w14:textId="77777777">
        <w:trPr>
          <w:trHeight w:val="365"/>
          <w:jc w:val="center"/>
        </w:trPr>
        <w:tc>
          <w:tcPr>
            <w:tcW w:w="8505" w:type="dxa"/>
            <w:gridSpan w:val="2"/>
            <w:tcBorders>
              <w:top w:val="nil"/>
              <w:left w:val="single" w:sz="4" w:space="0" w:color="auto"/>
              <w:bottom w:val="single" w:sz="4" w:space="0" w:color="auto"/>
              <w:right w:val="nil"/>
            </w:tcBorders>
          </w:tcPr>
          <w:p w14:paraId="23D187C8" w14:textId="77777777" w:rsidR="0003312E" w:rsidRDefault="00000000">
            <w:pPr>
              <w:pStyle w:val="Ttulo3"/>
              <w:keepNext w:val="0"/>
              <w:keepLines w:val="0"/>
              <w:shd w:val="clear" w:color="auto" w:fill="FFFFFF"/>
              <w:spacing w:before="0" w:after="0" w:line="240" w:lineRule="auto"/>
              <w:rPr>
                <w:rFonts w:ascii="Times New Roman" w:eastAsia="SimSun" w:hAnsi="Times New Roman" w:cs="Times New Roman"/>
                <w:color w:val="auto"/>
                <w:sz w:val="24"/>
                <w:szCs w:val="24"/>
              </w:rPr>
            </w:pPr>
            <w:r>
              <w:rPr>
                <w:rStyle w:val="Forte"/>
                <w:rFonts w:ascii="Times New Roman" w:eastAsia="Segoe UI" w:hAnsi="Times New Roman" w:cs="Times New Roman"/>
                <w:color w:val="auto"/>
                <w:sz w:val="24"/>
                <w:szCs w:val="24"/>
                <w:shd w:val="clear" w:color="auto" w:fill="FFFFFF"/>
              </w:rPr>
              <w:lastRenderedPageBreak/>
              <w:t xml:space="preserve">Capítulo 10 - </w:t>
            </w:r>
            <w:r>
              <w:rPr>
                <w:rFonts w:ascii="Times New Roman" w:hAnsi="Times New Roman" w:cs="Times New Roman"/>
                <w:b/>
                <w:bCs/>
                <w:color w:val="auto"/>
                <w:sz w:val="24"/>
                <w:szCs w:val="24"/>
              </w:rPr>
              <w:t>Eutimia: Da Serenidade Grega ao Equilíbrio Clínico</w:t>
            </w:r>
          </w:p>
        </w:tc>
      </w:tr>
      <w:tr w:rsidR="0003312E" w14:paraId="4A9C821F" w14:textId="77777777">
        <w:trPr>
          <w:trHeight w:val="2249"/>
          <w:jc w:val="center"/>
        </w:trPr>
        <w:tc>
          <w:tcPr>
            <w:tcW w:w="4353" w:type="dxa"/>
            <w:tcBorders>
              <w:top w:val="single" w:sz="4" w:space="0" w:color="auto"/>
              <w:left w:val="nil"/>
              <w:bottom w:val="nil"/>
              <w:right w:val="nil"/>
            </w:tcBorders>
          </w:tcPr>
          <w:p w14:paraId="5953B8FF" w14:textId="77777777" w:rsidR="0003312E" w:rsidRDefault="00000000">
            <w:pPr>
              <w:spacing w:after="0" w:line="240" w:lineRule="auto"/>
              <w:jc w:val="center"/>
              <w:rPr>
                <w:rStyle w:val="Forte"/>
                <w:rFonts w:ascii="Times New Roman" w:eastAsia="Garamond" w:hAnsi="Times New Roman" w:cs="Times New Roman"/>
                <w:b w:val="0"/>
                <w:bCs w:val="0"/>
                <w:sz w:val="24"/>
                <w:szCs w:val="24"/>
              </w:rPr>
            </w:pPr>
            <w:r>
              <w:rPr>
                <w:rFonts w:ascii="Times New Roman" w:eastAsia="SimSun" w:hAnsi="Times New Roman" w:cs="Times New Roman"/>
                <w:noProof/>
                <w:sz w:val="24"/>
                <w:szCs w:val="24"/>
              </w:rPr>
              <w:drawing>
                <wp:inline distT="0" distB="0" distL="114300" distR="114300" wp14:anchorId="6A694E65" wp14:editId="64F16257">
                  <wp:extent cx="1641475" cy="2462530"/>
                  <wp:effectExtent l="0" t="0" r="4445" b="6350"/>
                  <wp:docPr id="4" name="Imagem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descr="IMG_256"/>
                          <pic:cNvPicPr>
                            <a:picLocks noChangeAspect="1"/>
                          </pic:cNvPicPr>
                        </pic:nvPicPr>
                        <pic:blipFill>
                          <a:blip r:embed="rId31"/>
                          <a:stretch>
                            <a:fillRect/>
                          </a:stretch>
                        </pic:blipFill>
                        <pic:spPr>
                          <a:xfrm>
                            <a:off x="0" y="0"/>
                            <a:ext cx="1641475" cy="2462530"/>
                          </a:xfrm>
                          <a:prstGeom prst="rect">
                            <a:avLst/>
                          </a:prstGeom>
                          <a:noFill/>
                          <a:ln w="9525">
                            <a:noFill/>
                          </a:ln>
                        </pic:spPr>
                      </pic:pic>
                    </a:graphicData>
                  </a:graphic>
                </wp:inline>
              </w:drawing>
            </w:r>
          </w:p>
        </w:tc>
        <w:tc>
          <w:tcPr>
            <w:tcW w:w="4152" w:type="dxa"/>
            <w:tcBorders>
              <w:top w:val="single" w:sz="4" w:space="0" w:color="auto"/>
              <w:left w:val="nil"/>
              <w:bottom w:val="nil"/>
              <w:right w:val="nil"/>
            </w:tcBorders>
          </w:tcPr>
          <w:p w14:paraId="7BECE866" w14:textId="77777777" w:rsidR="0003312E" w:rsidRDefault="00000000">
            <w:pPr>
              <w:spacing w:after="0" w:line="240" w:lineRule="auto"/>
              <w:jc w:val="center"/>
              <w:rPr>
                <w:rStyle w:val="Forte"/>
                <w:rFonts w:ascii="Times New Roman" w:eastAsia="Garamond" w:hAnsi="Times New Roman" w:cs="Times New Roman"/>
                <w:b w:val="0"/>
                <w:bCs w:val="0"/>
                <w:sz w:val="24"/>
                <w:szCs w:val="24"/>
              </w:rPr>
            </w:pPr>
            <w:r>
              <w:rPr>
                <w:rFonts w:ascii="Times New Roman" w:eastAsia="SimSun" w:hAnsi="Times New Roman" w:cs="Times New Roman"/>
                <w:noProof/>
                <w:sz w:val="24"/>
                <w:szCs w:val="24"/>
              </w:rPr>
              <w:drawing>
                <wp:inline distT="0" distB="0" distL="114300" distR="114300" wp14:anchorId="1B5681CB" wp14:editId="60BE0895">
                  <wp:extent cx="1602740" cy="2405380"/>
                  <wp:effectExtent l="0" t="0" r="12700" b="2540"/>
                  <wp:docPr id="9" name="Imagem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13" descr="IMG_256"/>
                          <pic:cNvPicPr>
                            <a:picLocks noChangeAspect="1"/>
                          </pic:cNvPicPr>
                        </pic:nvPicPr>
                        <pic:blipFill>
                          <a:blip r:embed="rId32"/>
                          <a:stretch>
                            <a:fillRect/>
                          </a:stretch>
                        </pic:blipFill>
                        <pic:spPr>
                          <a:xfrm>
                            <a:off x="0" y="0"/>
                            <a:ext cx="1602740" cy="2405380"/>
                          </a:xfrm>
                          <a:prstGeom prst="rect">
                            <a:avLst/>
                          </a:prstGeom>
                          <a:noFill/>
                          <a:ln w="9525">
                            <a:noFill/>
                          </a:ln>
                        </pic:spPr>
                      </pic:pic>
                    </a:graphicData>
                  </a:graphic>
                </wp:inline>
              </w:drawing>
            </w:r>
          </w:p>
        </w:tc>
      </w:tr>
      <w:tr w:rsidR="0003312E" w14:paraId="422CC2D2" w14:textId="77777777">
        <w:trPr>
          <w:trHeight w:val="476"/>
          <w:jc w:val="center"/>
        </w:trPr>
        <w:tc>
          <w:tcPr>
            <w:tcW w:w="4353" w:type="dxa"/>
            <w:tcBorders>
              <w:top w:val="nil"/>
              <w:left w:val="nil"/>
              <w:bottom w:val="nil"/>
              <w:right w:val="nil"/>
            </w:tcBorders>
          </w:tcPr>
          <w:p w14:paraId="7138BCD8" w14:textId="77777777" w:rsidR="0003312E" w:rsidRDefault="00000000">
            <w:pPr>
              <w:pStyle w:val="NormalWeb"/>
              <w:shd w:val="clear" w:color="auto" w:fill="FFFFFF"/>
              <w:spacing w:beforeAutospacing="0" w:after="0" w:afterAutospacing="0" w:line="240" w:lineRule="auto"/>
              <w:rPr>
                <w:rStyle w:val="Forte"/>
                <w:rFonts w:eastAsia="Garamond"/>
                <w:b w:val="0"/>
                <w:bCs w:val="0"/>
                <w:sz w:val="24"/>
                <w:lang w:val="pt-BR"/>
              </w:rPr>
            </w:pPr>
            <w:r>
              <w:rPr>
                <w:rFonts w:eastAsiaTheme="majorEastAsia"/>
                <w:i/>
                <w:iCs/>
                <w:sz w:val="24"/>
                <w:lang w:val="pt-BR"/>
              </w:rPr>
              <w:t>Figura 10.1: A Árvore da Mente Equilibrada: Raízes Antigas, Flores Modernas</w:t>
            </w:r>
          </w:p>
        </w:tc>
        <w:tc>
          <w:tcPr>
            <w:tcW w:w="4152" w:type="dxa"/>
            <w:tcBorders>
              <w:top w:val="nil"/>
              <w:left w:val="nil"/>
              <w:bottom w:val="nil"/>
              <w:right w:val="nil"/>
            </w:tcBorders>
          </w:tcPr>
          <w:p w14:paraId="28B1A5A7" w14:textId="77777777" w:rsidR="0003312E" w:rsidRDefault="00000000">
            <w:pPr>
              <w:spacing w:after="0" w:line="240" w:lineRule="auto"/>
              <w:rPr>
                <w:rStyle w:val="Forte"/>
                <w:rFonts w:ascii="Times New Roman" w:eastAsia="Garamond" w:hAnsi="Times New Roman" w:cs="Times New Roman"/>
                <w:b w:val="0"/>
                <w:bCs w:val="0"/>
                <w:sz w:val="24"/>
                <w:szCs w:val="24"/>
              </w:rPr>
            </w:pPr>
            <w:r>
              <w:rPr>
                <w:rFonts w:ascii="Times New Roman" w:eastAsiaTheme="majorEastAsia" w:hAnsi="Times New Roman" w:cs="Times New Roman"/>
                <w:i/>
                <w:iCs/>
                <w:sz w:val="24"/>
                <w:szCs w:val="24"/>
              </w:rPr>
              <w:t xml:space="preserve">Figura 10.2: </w:t>
            </w:r>
            <w:r>
              <w:rPr>
                <w:rFonts w:ascii="Times New Roman" w:hAnsi="Times New Roman" w:cs="Times New Roman"/>
                <w:i/>
                <w:iCs/>
                <w:sz w:val="24"/>
                <w:szCs w:val="24"/>
              </w:rPr>
              <w:t xml:space="preserve">Demócrito de </w:t>
            </w:r>
            <w:proofErr w:type="spellStart"/>
            <w:r>
              <w:rPr>
                <w:rFonts w:ascii="Times New Roman" w:hAnsi="Times New Roman" w:cs="Times New Roman"/>
                <w:i/>
                <w:iCs/>
                <w:sz w:val="24"/>
                <w:szCs w:val="24"/>
              </w:rPr>
              <w:t>Abdera</w:t>
            </w:r>
            <w:proofErr w:type="spellEnd"/>
            <w:r>
              <w:rPr>
                <w:rFonts w:ascii="Times New Roman" w:hAnsi="Times New Roman" w:cs="Times New Roman"/>
                <w:i/>
                <w:iCs/>
                <w:sz w:val="24"/>
                <w:szCs w:val="24"/>
              </w:rPr>
              <w:t xml:space="preserve"> (c. </w:t>
            </w:r>
            <w:proofErr w:type="gramStart"/>
            <w:r>
              <w:rPr>
                <w:rFonts w:ascii="Times New Roman" w:hAnsi="Times New Roman" w:cs="Times New Roman"/>
                <w:i/>
                <w:iCs/>
                <w:sz w:val="24"/>
                <w:szCs w:val="24"/>
              </w:rPr>
              <w:t>460  -</w:t>
            </w:r>
            <w:proofErr w:type="gramEnd"/>
            <w:r>
              <w:rPr>
                <w:rFonts w:ascii="Times New Roman" w:hAnsi="Times New Roman" w:cs="Times New Roman"/>
                <w:i/>
                <w:iCs/>
                <w:sz w:val="24"/>
                <w:szCs w:val="24"/>
              </w:rPr>
              <w:t xml:space="preserve">  370 a.C.)</w:t>
            </w:r>
            <w:r>
              <w:rPr>
                <w:rFonts w:ascii="Times New Roman" w:eastAsiaTheme="majorEastAsia" w:hAnsi="Times New Roman" w:cs="Times New Roman"/>
                <w:i/>
                <w:iCs/>
                <w:sz w:val="24"/>
                <w:szCs w:val="24"/>
              </w:rPr>
              <w:t>: O Filósofo do Bom Ânimo</w:t>
            </w:r>
          </w:p>
        </w:tc>
      </w:tr>
    </w:tbl>
    <w:p w14:paraId="4A3AD33F" w14:textId="77777777" w:rsidR="0003312E" w:rsidRDefault="0003312E">
      <w:pPr>
        <w:pStyle w:val="NormalWeb"/>
        <w:spacing w:beforeAutospacing="0" w:after="0" w:afterAutospacing="0" w:line="360" w:lineRule="auto"/>
        <w:ind w:firstLine="709"/>
        <w:jc w:val="both"/>
        <w:rPr>
          <w:rFonts w:eastAsia="Segoe UI"/>
          <w:sz w:val="24"/>
          <w:lang w:val="pt-BR"/>
        </w:rPr>
      </w:pPr>
    </w:p>
    <w:p w14:paraId="4DC6F360"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b/>
          <w:bCs/>
          <w:sz w:val="24"/>
          <w:shd w:val="clear" w:color="auto" w:fill="FFFFFF"/>
          <w:lang w:val="pt-BR"/>
        </w:rPr>
        <w:t>Eutimia em Poucas Palavras</w:t>
      </w:r>
    </w:p>
    <w:p w14:paraId="64737B65"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O conceito de eutimia nos convida a explorar uma ideia tão antiga quanto fundamental para o bem-estar humano. Para compreendê-la em toda a sua riqueza, percorreremos quatro dimensões interligadas que, juntas, revelam a profundidade e a atualidade deste construto.</w:t>
      </w:r>
      <w:r>
        <w:rPr>
          <w:rFonts w:eastAsia="Segoe UI"/>
          <w:sz w:val="24"/>
          <w:shd w:val="clear" w:color="auto" w:fill="FFFFFF"/>
          <w:lang w:val="pt-BR"/>
        </w:rPr>
        <w:br/>
        <w:t xml:space="preserve">A jornada inicia-se pela origem etimológica, onde descobrimos que o termo grego </w:t>
      </w:r>
      <w:proofErr w:type="spellStart"/>
      <w:r>
        <w:rPr>
          <w:rFonts w:eastAsia="Segoe UI"/>
          <w:sz w:val="24"/>
          <w:shd w:val="clear" w:color="auto" w:fill="FFFFFF"/>
        </w:rPr>
        <w:t>εὐθυμί</w:t>
      </w:r>
      <w:proofErr w:type="spellEnd"/>
      <w:r>
        <w:rPr>
          <w:rFonts w:eastAsia="Segoe UI"/>
          <w:sz w:val="24"/>
          <w:shd w:val="clear" w:color="auto" w:fill="FFFFFF"/>
        </w:rPr>
        <w:t>α</w:t>
      </w:r>
      <w:r>
        <w:rPr>
          <w:rFonts w:eastAsia="Segoe UI"/>
          <w:sz w:val="24"/>
          <w:shd w:val="clear" w:color="auto" w:fill="FFFFFF"/>
          <w:lang w:val="pt-BR"/>
        </w:rPr>
        <w:t xml:space="preserve"> (</w:t>
      </w:r>
      <w:proofErr w:type="spellStart"/>
      <w:r>
        <w:rPr>
          <w:rFonts w:eastAsia="Segoe UI"/>
          <w:sz w:val="24"/>
          <w:shd w:val="clear" w:color="auto" w:fill="FFFFFF"/>
          <w:lang w:val="pt-BR"/>
        </w:rPr>
        <w:t>euthymia</w:t>
      </w:r>
      <w:proofErr w:type="spellEnd"/>
      <w:r>
        <w:rPr>
          <w:rFonts w:eastAsia="Segoe UI"/>
          <w:sz w:val="24"/>
          <w:shd w:val="clear" w:color="auto" w:fill="FFFFFF"/>
          <w:lang w:val="pt-BR"/>
        </w:rPr>
        <w:t>) significa literalmente "bom estado da alma" - uma definição que já carrega em si uma sabedoria profunda sobre o equilíbrio interior. Em seguida, a jornada histórica nos guia desde as reflexões dos filósofos gregos, como Demócrito, até os avanços da psicologia contemporânea, mostrando como este conceito foi redescoberto e reformulado pela ciência moderna. A terceira dimensão desvenda os fundamentos neurocientíficos por trás desse estado de equilíbrio, explicando as bases cerebrais do bem-estar. Por fim, a dimensão filosófica nos apresenta a eutimia não como um conceito abstrato, mas como um ideal tangível de vida plena e serena.</w:t>
      </w:r>
    </w:p>
    <w:p w14:paraId="3D51C382"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 xml:space="preserve">Esta visão integrada é perfeitamente capturada pela imagem que abre este capítulo. Como uma árvore que brota de um antigo vaso grego - ostentando a palavra </w:t>
      </w:r>
      <w:r>
        <w:rPr>
          <w:rFonts w:eastAsia="Segoe UI"/>
          <w:sz w:val="24"/>
          <w:shd w:val="clear" w:color="auto" w:fill="FFFFFF"/>
        </w:rPr>
        <w:t>ΕΥΘΥΜΙΑ</w:t>
      </w:r>
      <w:r>
        <w:rPr>
          <w:rFonts w:eastAsia="Segoe UI"/>
          <w:sz w:val="24"/>
          <w:shd w:val="clear" w:color="auto" w:fill="FFFFFF"/>
          <w:lang w:val="pt-BR"/>
        </w:rPr>
        <w:t xml:space="preserve"> -, suas raízes mergulham no solo fértil da filosofia antiga. Seu tronco entrelaça-se com os critérios de saúde mental positiva de Marie </w:t>
      </w:r>
      <w:proofErr w:type="spellStart"/>
      <w:r>
        <w:rPr>
          <w:rFonts w:eastAsia="Segoe UI"/>
          <w:sz w:val="24"/>
          <w:shd w:val="clear" w:color="auto" w:fill="FFFFFF"/>
          <w:lang w:val="pt-BR"/>
        </w:rPr>
        <w:t>Jahoda</w:t>
      </w:r>
      <w:proofErr w:type="spellEnd"/>
      <w:r>
        <w:rPr>
          <w:rFonts w:eastAsia="Segoe UI"/>
          <w:sz w:val="24"/>
          <w:shd w:val="clear" w:color="auto" w:fill="FFFFFF"/>
          <w:lang w:val="pt-BR"/>
        </w:rPr>
        <w:t xml:space="preserve">, e sua copa frondosa e equilibrada representa os três pilares modernos da eutimia clínica: flexibilidade, consistência e resiliência. Esta metáfora visual encapsula perfeitamente a trajetória que exploraremos - das origens filosóficas mais profundas à sua expressão como um alvo científico na saúde mental contemporânea, </w:t>
      </w:r>
      <w:r>
        <w:rPr>
          <w:rFonts w:eastAsia="Segoe UI"/>
          <w:sz w:val="24"/>
          <w:shd w:val="clear" w:color="auto" w:fill="FFFFFF"/>
          <w:lang w:val="pt-BR"/>
        </w:rPr>
        <w:lastRenderedPageBreak/>
        <w:t>demonstrando como a eutimia consegue a proeza de unir a sabedoria antiga com os conhecimentos da ciência moderna.</w:t>
      </w:r>
    </w:p>
    <w:p w14:paraId="04C628B3" w14:textId="77777777" w:rsidR="0003312E" w:rsidRDefault="0003312E">
      <w:pPr>
        <w:pStyle w:val="NormalWeb"/>
        <w:spacing w:beforeAutospacing="0" w:after="0" w:afterAutospacing="0" w:line="360" w:lineRule="auto"/>
        <w:ind w:firstLine="709"/>
        <w:jc w:val="both"/>
        <w:rPr>
          <w:rFonts w:eastAsia="Segoe UI"/>
          <w:b/>
          <w:bCs/>
          <w:sz w:val="24"/>
          <w:shd w:val="clear" w:color="auto" w:fill="FFFFFF"/>
          <w:lang w:val="pt-BR"/>
        </w:rPr>
      </w:pPr>
    </w:p>
    <w:p w14:paraId="4113FFAB"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b/>
          <w:bCs/>
          <w:sz w:val="24"/>
          <w:shd w:val="clear" w:color="auto" w:fill="FFFFFF"/>
          <w:lang w:val="pt-BR"/>
        </w:rPr>
        <w:t>As Dimensões da Eutimia: Uma Visão Integrada</w:t>
      </w:r>
    </w:p>
    <w:p w14:paraId="37441624"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b/>
          <w:bCs/>
          <w:sz w:val="24"/>
          <w:shd w:val="clear" w:color="auto" w:fill="FFFFFF"/>
          <w:lang w:val="pt-BR"/>
        </w:rPr>
        <w:t>1. Gênese e Jornada Histórica: A Dimensão Etimológica e Semântica</w:t>
      </w:r>
      <w:r>
        <w:rPr>
          <w:rFonts w:eastAsia="Segoe UI"/>
          <w:sz w:val="24"/>
          <w:shd w:val="clear" w:color="auto" w:fill="FFFFFF"/>
          <w:lang w:val="pt-BR"/>
        </w:rPr>
        <w:br/>
        <w:t xml:space="preserve">Compreender a eutimia exige uma análise etimológica profunda, que revele a riqueza semântica perdida em sua tradução clínica superficial. A palavra deriva do grego </w:t>
      </w:r>
      <w:proofErr w:type="spellStart"/>
      <w:r>
        <w:rPr>
          <w:rFonts w:eastAsia="Segoe UI"/>
          <w:sz w:val="24"/>
          <w:shd w:val="clear" w:color="auto" w:fill="FFFFFF"/>
        </w:rPr>
        <w:t>εὐθυμί</w:t>
      </w:r>
      <w:proofErr w:type="spellEnd"/>
      <w:r>
        <w:rPr>
          <w:rFonts w:eastAsia="Segoe UI"/>
          <w:sz w:val="24"/>
          <w:shd w:val="clear" w:color="auto" w:fill="FFFFFF"/>
        </w:rPr>
        <w:t>α</w:t>
      </w:r>
      <w:r>
        <w:rPr>
          <w:rFonts w:eastAsia="Segoe UI"/>
          <w:sz w:val="24"/>
          <w:shd w:val="clear" w:color="auto" w:fill="FFFFFF"/>
          <w:lang w:val="pt-BR"/>
        </w:rPr>
        <w:t xml:space="preserve"> (</w:t>
      </w:r>
      <w:proofErr w:type="spellStart"/>
      <w:r>
        <w:rPr>
          <w:rFonts w:eastAsia="Segoe UI"/>
          <w:sz w:val="24"/>
          <w:shd w:val="clear" w:color="auto" w:fill="FFFFFF"/>
          <w:lang w:val="pt-BR"/>
        </w:rPr>
        <w:t>euthymia</w:t>
      </w:r>
      <w:proofErr w:type="spellEnd"/>
      <w:r>
        <w:rPr>
          <w:rFonts w:eastAsia="Segoe UI"/>
          <w:sz w:val="24"/>
          <w:shd w:val="clear" w:color="auto" w:fill="FFFFFF"/>
          <w:lang w:val="pt-BR"/>
        </w:rPr>
        <w:t>), composta por dois elementos fundamentais: o prefixo eu- (</w:t>
      </w:r>
      <w:proofErr w:type="spellStart"/>
      <w:r>
        <w:rPr>
          <w:rFonts w:eastAsia="Segoe UI"/>
          <w:sz w:val="24"/>
          <w:shd w:val="clear" w:color="auto" w:fill="FFFFFF"/>
        </w:rPr>
        <w:t>εὖ</w:t>
      </w:r>
      <w:proofErr w:type="spellEnd"/>
      <w:r>
        <w:rPr>
          <w:rFonts w:eastAsia="Segoe UI"/>
          <w:sz w:val="24"/>
          <w:shd w:val="clear" w:color="auto" w:fill="FFFFFF"/>
          <w:lang w:val="pt-BR"/>
        </w:rPr>
        <w:t>), que significa "bom", "bem", "ideal", "próspero"; e o radical -</w:t>
      </w:r>
      <w:proofErr w:type="spellStart"/>
      <w:r>
        <w:rPr>
          <w:rFonts w:eastAsia="Segoe UI"/>
          <w:sz w:val="24"/>
          <w:shd w:val="clear" w:color="auto" w:fill="FFFFFF"/>
          <w:lang w:val="pt-BR"/>
        </w:rPr>
        <w:t>thymos</w:t>
      </w:r>
      <w:proofErr w:type="spellEnd"/>
      <w:r>
        <w:rPr>
          <w:rFonts w:eastAsia="Segoe UI"/>
          <w:sz w:val="24"/>
          <w:shd w:val="clear" w:color="auto" w:fill="FFFFFF"/>
          <w:lang w:val="pt-BR"/>
        </w:rPr>
        <w:t xml:space="preserve"> (</w:t>
      </w:r>
      <w:proofErr w:type="spellStart"/>
      <w:r>
        <w:rPr>
          <w:rFonts w:eastAsia="Segoe UI"/>
          <w:sz w:val="24"/>
          <w:shd w:val="clear" w:color="auto" w:fill="FFFFFF"/>
        </w:rPr>
        <w:t>θυμός</w:t>
      </w:r>
      <w:proofErr w:type="spellEnd"/>
      <w:r>
        <w:rPr>
          <w:rFonts w:eastAsia="Segoe UI"/>
          <w:sz w:val="24"/>
          <w:shd w:val="clear" w:color="auto" w:fill="FFFFFF"/>
          <w:lang w:val="pt-BR"/>
        </w:rPr>
        <w:t xml:space="preserve">), um termo de complexidade vasta que abrange a alma como sede da vida, o mundo das emoções e paixões, a força motriz da vontade e aspectos que podemos considerar </w:t>
      </w:r>
      <w:proofErr w:type="spellStart"/>
      <w:r>
        <w:rPr>
          <w:rFonts w:eastAsia="Segoe UI"/>
          <w:sz w:val="24"/>
          <w:shd w:val="clear" w:color="auto" w:fill="FFFFFF"/>
          <w:lang w:val="pt-BR"/>
        </w:rPr>
        <w:t>proto-cognitivos</w:t>
      </w:r>
      <w:proofErr w:type="spellEnd"/>
      <w:r>
        <w:rPr>
          <w:rFonts w:eastAsia="Segoe UI"/>
          <w:sz w:val="24"/>
          <w:shd w:val="clear" w:color="auto" w:fill="FFFFFF"/>
          <w:lang w:val="pt-BR"/>
        </w:rPr>
        <w:t xml:space="preserve">, como intenção e propósito. Literalmente, </w:t>
      </w:r>
      <w:proofErr w:type="spellStart"/>
      <w:r>
        <w:rPr>
          <w:rFonts w:eastAsia="Segoe UI"/>
          <w:sz w:val="24"/>
          <w:shd w:val="clear" w:color="auto" w:fill="FFFFFF"/>
          <w:lang w:val="pt-BR"/>
        </w:rPr>
        <w:t>euthymia</w:t>
      </w:r>
      <w:proofErr w:type="spellEnd"/>
      <w:r>
        <w:rPr>
          <w:rFonts w:eastAsia="Segoe UI"/>
          <w:sz w:val="24"/>
          <w:shd w:val="clear" w:color="auto" w:fill="FFFFFF"/>
          <w:lang w:val="pt-BR"/>
        </w:rPr>
        <w:t xml:space="preserve"> significa "um bom estado de todo o </w:t>
      </w:r>
      <w:proofErr w:type="spellStart"/>
      <w:r>
        <w:rPr>
          <w:rFonts w:eastAsia="Segoe UI"/>
          <w:sz w:val="24"/>
          <w:shd w:val="clear" w:color="auto" w:fill="FFFFFF"/>
          <w:lang w:val="pt-BR"/>
        </w:rPr>
        <w:t>thymos</w:t>
      </w:r>
      <w:proofErr w:type="spellEnd"/>
      <w:r>
        <w:rPr>
          <w:rFonts w:eastAsia="Segoe UI"/>
          <w:sz w:val="24"/>
          <w:shd w:val="clear" w:color="auto" w:fill="FFFFFF"/>
          <w:lang w:val="pt-BR"/>
        </w:rPr>
        <w:t xml:space="preserve">" - um bem-estar integral que abrange as dimensões emocional, volitiva e cognitiva. O verbo </w:t>
      </w:r>
      <w:proofErr w:type="spellStart"/>
      <w:r>
        <w:rPr>
          <w:rFonts w:eastAsia="Segoe UI"/>
          <w:sz w:val="24"/>
          <w:shd w:val="clear" w:color="auto" w:fill="FFFFFF"/>
          <w:lang w:val="pt-BR"/>
        </w:rPr>
        <w:t>euthymeo</w:t>
      </w:r>
      <w:proofErr w:type="spellEnd"/>
      <w:r>
        <w:rPr>
          <w:rFonts w:eastAsia="Segoe UI"/>
          <w:sz w:val="24"/>
          <w:shd w:val="clear" w:color="auto" w:fill="FFFFFF"/>
          <w:lang w:val="pt-BR"/>
        </w:rPr>
        <w:t xml:space="preserve"> revela ainda mais sua profundidade, significando tanto "estar de bom humor, alegre" quanto "encorajar, tranquilizar alguém".</w:t>
      </w:r>
      <w:r>
        <w:rPr>
          <w:rFonts w:eastAsia="Segoe UI"/>
          <w:sz w:val="24"/>
          <w:shd w:val="clear" w:color="auto" w:fill="FFFFFF"/>
          <w:lang w:val="pt-BR"/>
        </w:rPr>
        <w:br/>
        <w:t xml:space="preserve">O conceito de </w:t>
      </w:r>
      <w:proofErr w:type="spellStart"/>
      <w:r>
        <w:rPr>
          <w:rFonts w:eastAsia="Segoe UI"/>
          <w:sz w:val="24"/>
          <w:shd w:val="clear" w:color="auto" w:fill="FFFFFF"/>
          <w:lang w:val="pt-BR"/>
        </w:rPr>
        <w:t>euthymía</w:t>
      </w:r>
      <w:proofErr w:type="spellEnd"/>
      <w:r>
        <w:rPr>
          <w:rFonts w:eastAsia="Segoe UI"/>
          <w:sz w:val="24"/>
          <w:shd w:val="clear" w:color="auto" w:fill="FFFFFF"/>
          <w:lang w:val="pt-BR"/>
        </w:rPr>
        <w:t xml:space="preserve"> (</w:t>
      </w:r>
      <w:proofErr w:type="spellStart"/>
      <w:r>
        <w:rPr>
          <w:rFonts w:eastAsia="Segoe UI"/>
          <w:sz w:val="24"/>
          <w:shd w:val="clear" w:color="auto" w:fill="FFFFFF"/>
        </w:rPr>
        <w:t>εὐθυμί</w:t>
      </w:r>
      <w:proofErr w:type="spellEnd"/>
      <w:r>
        <w:rPr>
          <w:rFonts w:eastAsia="Segoe UI"/>
          <w:sz w:val="24"/>
          <w:shd w:val="clear" w:color="auto" w:fill="FFFFFF"/>
        </w:rPr>
        <w:t>α</w:t>
      </w:r>
      <w:r>
        <w:rPr>
          <w:rFonts w:eastAsia="Segoe UI"/>
          <w:sz w:val="24"/>
          <w:shd w:val="clear" w:color="auto" w:fill="FFFFFF"/>
          <w:lang w:val="pt-BR"/>
        </w:rPr>
        <w:t xml:space="preserve">) enraíza-se numa visão integral grega que unia corpo, mente e espírito. Seu significado transcende a noção simplista de "bom humor", emergindo da síntese entre </w:t>
      </w:r>
      <w:proofErr w:type="gramStart"/>
      <w:r>
        <w:rPr>
          <w:rFonts w:eastAsia="Segoe UI"/>
          <w:sz w:val="24"/>
          <w:shd w:val="clear" w:color="auto" w:fill="FFFFFF"/>
          <w:lang w:val="pt-BR"/>
        </w:rPr>
        <w:t>eu</w:t>
      </w:r>
      <w:proofErr w:type="gramEnd"/>
      <w:r>
        <w:rPr>
          <w:rFonts w:eastAsia="Segoe UI"/>
          <w:sz w:val="24"/>
          <w:shd w:val="clear" w:color="auto" w:fill="FFFFFF"/>
          <w:lang w:val="pt-BR"/>
        </w:rPr>
        <w:t>- (</w:t>
      </w:r>
      <w:proofErr w:type="spellStart"/>
      <w:r>
        <w:rPr>
          <w:rFonts w:eastAsia="Segoe UI"/>
          <w:sz w:val="24"/>
          <w:shd w:val="clear" w:color="auto" w:fill="FFFFFF"/>
        </w:rPr>
        <w:t>εὖ</w:t>
      </w:r>
      <w:proofErr w:type="spellEnd"/>
      <w:r>
        <w:rPr>
          <w:rFonts w:eastAsia="Segoe UI"/>
          <w:sz w:val="24"/>
          <w:shd w:val="clear" w:color="auto" w:fill="FFFFFF"/>
          <w:lang w:val="pt-BR"/>
        </w:rPr>
        <w:t>), que evoca uma ideia de bem, equilíbrio e plenitude, e -</w:t>
      </w:r>
      <w:proofErr w:type="spellStart"/>
      <w:r>
        <w:rPr>
          <w:rFonts w:eastAsia="Segoe UI"/>
          <w:sz w:val="24"/>
          <w:shd w:val="clear" w:color="auto" w:fill="FFFFFF"/>
          <w:lang w:val="pt-BR"/>
        </w:rPr>
        <w:t>thymos</w:t>
      </w:r>
      <w:proofErr w:type="spellEnd"/>
      <w:r>
        <w:rPr>
          <w:rFonts w:eastAsia="Segoe UI"/>
          <w:sz w:val="24"/>
          <w:shd w:val="clear" w:color="auto" w:fill="FFFFFF"/>
          <w:lang w:val="pt-BR"/>
        </w:rPr>
        <w:t xml:space="preserve"> (</w:t>
      </w:r>
      <w:proofErr w:type="spellStart"/>
      <w:r>
        <w:rPr>
          <w:rFonts w:eastAsia="Segoe UI"/>
          <w:sz w:val="24"/>
          <w:shd w:val="clear" w:color="auto" w:fill="FFFFFF"/>
        </w:rPr>
        <w:t>θυμός</w:t>
      </w:r>
      <w:proofErr w:type="spellEnd"/>
      <w:r>
        <w:rPr>
          <w:rFonts w:eastAsia="Segoe UI"/>
          <w:sz w:val="24"/>
          <w:shd w:val="clear" w:color="auto" w:fill="FFFFFF"/>
          <w:lang w:val="pt-BR"/>
        </w:rPr>
        <w:t>), termo de profunda ressonância fisiológica e psíquica.</w:t>
      </w:r>
      <w:r>
        <w:rPr>
          <w:rFonts w:eastAsia="Segoe UI"/>
          <w:sz w:val="24"/>
          <w:shd w:val="clear" w:color="auto" w:fill="FFFFFF"/>
          <w:lang w:val="pt-BR"/>
        </w:rPr>
        <w:br/>
        <w:t xml:space="preserve">Crucialmente, </w:t>
      </w:r>
      <w:proofErr w:type="spellStart"/>
      <w:r>
        <w:rPr>
          <w:rFonts w:eastAsia="Segoe UI"/>
          <w:sz w:val="24"/>
          <w:shd w:val="clear" w:color="auto" w:fill="FFFFFF"/>
          <w:lang w:val="pt-BR"/>
        </w:rPr>
        <w:t>thymos</w:t>
      </w:r>
      <w:proofErr w:type="spellEnd"/>
      <w:r>
        <w:rPr>
          <w:rFonts w:eastAsia="Segoe UI"/>
          <w:sz w:val="24"/>
          <w:shd w:val="clear" w:color="auto" w:fill="FFFFFF"/>
          <w:lang w:val="pt-BR"/>
        </w:rPr>
        <w:t xml:space="preserve"> não era uma abstração. Referia-se à força vital palpável que se manifestava no peito - a sede das emoções fervorosas, da coragem e do ânimo. É desta concepção que deriva o nome da glândula timo (</w:t>
      </w:r>
      <w:proofErr w:type="spellStart"/>
      <w:r>
        <w:rPr>
          <w:rFonts w:eastAsia="Segoe UI"/>
          <w:sz w:val="24"/>
          <w:shd w:val="clear" w:color="auto" w:fill="FFFFFF"/>
        </w:rPr>
        <w:t>θύμος</w:t>
      </w:r>
      <w:proofErr w:type="spellEnd"/>
      <w:r>
        <w:rPr>
          <w:rFonts w:eastAsia="Segoe UI"/>
          <w:sz w:val="24"/>
          <w:shd w:val="clear" w:color="auto" w:fill="FFFFFF"/>
          <w:lang w:val="pt-BR"/>
        </w:rPr>
        <w:t xml:space="preserve">), situada anatomicamente nessa região, outrora considerada o </w:t>
      </w:r>
      <w:proofErr w:type="spellStart"/>
      <w:r>
        <w:rPr>
          <w:rFonts w:eastAsia="Segoe UI"/>
          <w:sz w:val="24"/>
          <w:shd w:val="clear" w:color="auto" w:fill="FFFFFF"/>
          <w:lang w:val="pt-BR"/>
        </w:rPr>
        <w:t>locus</w:t>
      </w:r>
      <w:proofErr w:type="spellEnd"/>
      <w:r>
        <w:rPr>
          <w:rFonts w:eastAsia="Segoe UI"/>
          <w:sz w:val="24"/>
          <w:shd w:val="clear" w:color="auto" w:fill="FFFFFF"/>
          <w:lang w:val="pt-BR"/>
        </w:rPr>
        <w:t xml:space="preserve"> físico onde residiam a paixão e a coragem.</w:t>
      </w:r>
      <w:r>
        <w:rPr>
          <w:rFonts w:eastAsia="Segoe UI"/>
          <w:sz w:val="24"/>
          <w:shd w:val="clear" w:color="auto" w:fill="FFFFFF"/>
          <w:lang w:val="pt-BR"/>
        </w:rPr>
        <w:br/>
        <w:t xml:space="preserve">Desse modo, a </w:t>
      </w:r>
      <w:proofErr w:type="spellStart"/>
      <w:r>
        <w:rPr>
          <w:rFonts w:eastAsia="Segoe UI"/>
          <w:sz w:val="24"/>
          <w:shd w:val="clear" w:color="auto" w:fill="FFFFFF"/>
          <w:lang w:val="pt-BR"/>
        </w:rPr>
        <w:t>euthymía</w:t>
      </w:r>
      <w:proofErr w:type="spellEnd"/>
      <w:r>
        <w:rPr>
          <w:rFonts w:eastAsia="Segoe UI"/>
          <w:sz w:val="24"/>
          <w:shd w:val="clear" w:color="auto" w:fill="FFFFFF"/>
          <w:lang w:val="pt-BR"/>
        </w:rPr>
        <w:t xml:space="preserve"> designava, originalmente, muito mais que um estado emocional passageiro. Ela representava a qualidade de um </w:t>
      </w:r>
      <w:proofErr w:type="spellStart"/>
      <w:r>
        <w:rPr>
          <w:rFonts w:eastAsia="Segoe UI"/>
          <w:sz w:val="24"/>
          <w:shd w:val="clear" w:color="auto" w:fill="FFFFFF"/>
          <w:lang w:val="pt-BR"/>
        </w:rPr>
        <w:t>thymos</w:t>
      </w:r>
      <w:proofErr w:type="spellEnd"/>
      <w:r>
        <w:rPr>
          <w:rFonts w:eastAsia="Segoe UI"/>
          <w:sz w:val="24"/>
          <w:shd w:val="clear" w:color="auto" w:fill="FFFFFF"/>
          <w:lang w:val="pt-BR"/>
        </w:rPr>
        <w:t xml:space="preserve"> bem-regulado - um equilíbrio vigoroso e harmonioso da vitalidade interior, no qual o indivíduo experimentava serenidade, fortaleza de espírito e uma conexão íntima com seu próprio sopro vital. O sufixo -ia consolida essa condição como uma qualidade duradoura da alma.</w:t>
      </w:r>
    </w:p>
    <w:p w14:paraId="4A1246CF"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 xml:space="preserve">Para compreender plenamente o significado do </w:t>
      </w:r>
      <w:proofErr w:type="spellStart"/>
      <w:r>
        <w:rPr>
          <w:rFonts w:eastAsia="Segoe UI"/>
          <w:sz w:val="24"/>
          <w:shd w:val="clear" w:color="auto" w:fill="FFFFFF"/>
          <w:lang w:val="pt-BR"/>
        </w:rPr>
        <w:t>thymos</w:t>
      </w:r>
      <w:proofErr w:type="spellEnd"/>
      <w:r>
        <w:rPr>
          <w:rFonts w:eastAsia="Segoe UI"/>
          <w:sz w:val="24"/>
          <w:shd w:val="clear" w:color="auto" w:fill="FFFFFF"/>
          <w:lang w:val="pt-BR"/>
        </w:rPr>
        <w:t xml:space="preserve">, é essencial contextualizá-lo na concepção grega da alma. Do ponto de vista filológico, o termo </w:t>
      </w:r>
      <w:proofErr w:type="spellStart"/>
      <w:r>
        <w:rPr>
          <w:rFonts w:eastAsia="Segoe UI"/>
          <w:sz w:val="24"/>
          <w:shd w:val="clear" w:color="auto" w:fill="FFFFFF"/>
          <w:lang w:val="pt-BR"/>
        </w:rPr>
        <w:t>thymós</w:t>
      </w:r>
      <w:proofErr w:type="spellEnd"/>
      <w:r>
        <w:rPr>
          <w:rFonts w:eastAsia="Segoe UI"/>
          <w:sz w:val="24"/>
          <w:shd w:val="clear" w:color="auto" w:fill="FFFFFF"/>
          <w:lang w:val="pt-BR"/>
        </w:rPr>
        <w:t xml:space="preserve"> está tradicionalmente associado ao ânimo, às emoções e à força vital, distinguindo-se da cognição racional, que os gregos atribuíam ao </w:t>
      </w:r>
      <w:proofErr w:type="spellStart"/>
      <w:r>
        <w:rPr>
          <w:rFonts w:eastAsia="Segoe UI"/>
          <w:sz w:val="24"/>
          <w:shd w:val="clear" w:color="auto" w:fill="FFFFFF"/>
          <w:lang w:val="pt-BR"/>
        </w:rPr>
        <w:t>nous</w:t>
      </w:r>
      <w:proofErr w:type="spellEnd"/>
      <w:r>
        <w:rPr>
          <w:rFonts w:eastAsia="Segoe UI"/>
          <w:sz w:val="24"/>
          <w:shd w:val="clear" w:color="auto" w:fill="FFFFFF"/>
          <w:lang w:val="pt-BR"/>
        </w:rPr>
        <w:t xml:space="preserve"> - a mente ou intelecto. Essa separação conceitual é fundamental para compreender a estrutura da alma na filosofia de Platão, especialmente em A República e </w:t>
      </w:r>
      <w:proofErr w:type="spellStart"/>
      <w:r>
        <w:rPr>
          <w:rFonts w:eastAsia="Segoe UI"/>
          <w:sz w:val="24"/>
          <w:shd w:val="clear" w:color="auto" w:fill="FFFFFF"/>
          <w:lang w:val="pt-BR"/>
        </w:rPr>
        <w:t>Fedro</w:t>
      </w:r>
      <w:proofErr w:type="spellEnd"/>
      <w:r>
        <w:rPr>
          <w:rFonts w:eastAsia="Segoe UI"/>
          <w:sz w:val="24"/>
          <w:shd w:val="clear" w:color="auto" w:fill="FFFFFF"/>
          <w:lang w:val="pt-BR"/>
        </w:rPr>
        <w:t xml:space="preserve">. Em A República, Platão apresenta a psique como composta por três partes: o </w:t>
      </w:r>
      <w:proofErr w:type="spellStart"/>
      <w:r>
        <w:rPr>
          <w:rFonts w:eastAsia="Segoe UI"/>
          <w:sz w:val="24"/>
          <w:shd w:val="clear" w:color="auto" w:fill="FFFFFF"/>
          <w:lang w:val="pt-BR"/>
        </w:rPr>
        <w:t>logistikon</w:t>
      </w:r>
      <w:proofErr w:type="spellEnd"/>
      <w:r>
        <w:rPr>
          <w:rFonts w:eastAsia="Segoe UI"/>
          <w:sz w:val="24"/>
          <w:shd w:val="clear" w:color="auto" w:fill="FFFFFF"/>
          <w:lang w:val="pt-BR"/>
        </w:rPr>
        <w:t xml:space="preserve">, </w:t>
      </w:r>
      <w:r>
        <w:rPr>
          <w:rFonts w:eastAsia="Segoe UI"/>
          <w:sz w:val="24"/>
          <w:shd w:val="clear" w:color="auto" w:fill="FFFFFF"/>
          <w:lang w:val="pt-BR"/>
        </w:rPr>
        <w:lastRenderedPageBreak/>
        <w:t xml:space="preserve">responsável pela razão e pelo discernimento; o </w:t>
      </w:r>
      <w:proofErr w:type="spellStart"/>
      <w:r>
        <w:rPr>
          <w:rFonts w:eastAsia="Segoe UI"/>
          <w:sz w:val="24"/>
          <w:shd w:val="clear" w:color="auto" w:fill="FFFFFF"/>
          <w:lang w:val="pt-BR"/>
        </w:rPr>
        <w:t>thymós</w:t>
      </w:r>
      <w:proofErr w:type="spellEnd"/>
      <w:r>
        <w:rPr>
          <w:rFonts w:eastAsia="Segoe UI"/>
          <w:sz w:val="24"/>
          <w:shd w:val="clear" w:color="auto" w:fill="FFFFFF"/>
          <w:lang w:val="pt-BR"/>
        </w:rPr>
        <w:t xml:space="preserve">, ligado à coragem, à indignação justa e à energia emocional; e a </w:t>
      </w:r>
      <w:proofErr w:type="spellStart"/>
      <w:r>
        <w:rPr>
          <w:rFonts w:eastAsia="Segoe UI"/>
          <w:sz w:val="24"/>
          <w:shd w:val="clear" w:color="auto" w:fill="FFFFFF"/>
          <w:lang w:val="pt-BR"/>
        </w:rPr>
        <w:t>epithymía</w:t>
      </w:r>
      <w:proofErr w:type="spellEnd"/>
      <w:r>
        <w:rPr>
          <w:rFonts w:eastAsia="Segoe UI"/>
          <w:sz w:val="24"/>
          <w:shd w:val="clear" w:color="auto" w:fill="FFFFFF"/>
          <w:lang w:val="pt-BR"/>
        </w:rPr>
        <w:t>, que governa os desejos e apetites sensíveis.</w:t>
      </w:r>
    </w:p>
    <w:p w14:paraId="3A3343F9"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 xml:space="preserve">Giovanni </w:t>
      </w:r>
      <w:proofErr w:type="spellStart"/>
      <w:r>
        <w:rPr>
          <w:rFonts w:eastAsia="Segoe UI"/>
          <w:sz w:val="24"/>
          <w:shd w:val="clear" w:color="auto" w:fill="FFFFFF"/>
          <w:lang w:val="pt-BR"/>
        </w:rPr>
        <w:t>Casertano</w:t>
      </w:r>
      <w:proofErr w:type="spellEnd"/>
      <w:r>
        <w:rPr>
          <w:rFonts w:eastAsia="Segoe UI"/>
          <w:sz w:val="24"/>
          <w:shd w:val="clear" w:color="auto" w:fill="FFFFFF"/>
          <w:lang w:val="pt-BR"/>
        </w:rPr>
        <w:t xml:space="preserve"> (2022), em estudo dedicado aos pré-socráticos, argumenta que essa tripartição não surgiu com Platão, mas já se esboçaria em pensadores como Heráclito, Empédocles e os pitagóricos. Segundo </w:t>
      </w:r>
      <w:proofErr w:type="spellStart"/>
      <w:r>
        <w:rPr>
          <w:rFonts w:eastAsia="Segoe UI"/>
          <w:sz w:val="24"/>
          <w:shd w:val="clear" w:color="auto" w:fill="FFFFFF"/>
          <w:lang w:val="pt-BR"/>
        </w:rPr>
        <w:t>Casertano</w:t>
      </w:r>
      <w:proofErr w:type="spellEnd"/>
      <w:r>
        <w:rPr>
          <w:rFonts w:eastAsia="Segoe UI"/>
          <w:sz w:val="24"/>
          <w:shd w:val="clear" w:color="auto" w:fill="FFFFFF"/>
          <w:lang w:val="pt-BR"/>
        </w:rPr>
        <w:t xml:space="preserve">, esses autores reconheciam uma diferenciação funcional na alma: o </w:t>
      </w:r>
      <w:proofErr w:type="spellStart"/>
      <w:r>
        <w:rPr>
          <w:rFonts w:eastAsia="Segoe UI"/>
          <w:sz w:val="24"/>
          <w:shd w:val="clear" w:color="auto" w:fill="FFFFFF"/>
          <w:lang w:val="pt-BR"/>
        </w:rPr>
        <w:t>thymós</w:t>
      </w:r>
      <w:proofErr w:type="spellEnd"/>
      <w:r>
        <w:rPr>
          <w:rFonts w:eastAsia="Segoe UI"/>
          <w:sz w:val="24"/>
          <w:shd w:val="clear" w:color="auto" w:fill="FFFFFF"/>
          <w:lang w:val="pt-BR"/>
        </w:rPr>
        <w:t xml:space="preserve"> como força volitiva e emocional, o </w:t>
      </w:r>
      <w:proofErr w:type="spellStart"/>
      <w:r>
        <w:rPr>
          <w:rFonts w:eastAsia="Segoe UI"/>
          <w:sz w:val="24"/>
          <w:shd w:val="clear" w:color="auto" w:fill="FFFFFF"/>
          <w:lang w:val="pt-BR"/>
        </w:rPr>
        <w:t>logistikon</w:t>
      </w:r>
      <w:proofErr w:type="spellEnd"/>
      <w:r>
        <w:rPr>
          <w:rFonts w:eastAsia="Segoe UI"/>
          <w:sz w:val="24"/>
          <w:shd w:val="clear" w:color="auto" w:fill="FFFFFF"/>
          <w:lang w:val="pt-BR"/>
        </w:rPr>
        <w:t xml:space="preserve"> - equivalente ao </w:t>
      </w:r>
      <w:proofErr w:type="spellStart"/>
      <w:r>
        <w:rPr>
          <w:rFonts w:eastAsia="Segoe UI"/>
          <w:sz w:val="24"/>
          <w:shd w:val="clear" w:color="auto" w:fill="FFFFFF"/>
          <w:lang w:val="pt-BR"/>
        </w:rPr>
        <w:t>nous</w:t>
      </w:r>
      <w:proofErr w:type="spellEnd"/>
      <w:r>
        <w:rPr>
          <w:rFonts w:eastAsia="Segoe UI"/>
          <w:sz w:val="24"/>
          <w:shd w:val="clear" w:color="auto" w:fill="FFFFFF"/>
          <w:lang w:val="pt-BR"/>
        </w:rPr>
        <w:t xml:space="preserve"> - como sede da razão, e a </w:t>
      </w:r>
      <w:proofErr w:type="spellStart"/>
      <w:r>
        <w:rPr>
          <w:rFonts w:eastAsia="Segoe UI"/>
          <w:sz w:val="24"/>
          <w:shd w:val="clear" w:color="auto" w:fill="FFFFFF"/>
          <w:lang w:val="pt-BR"/>
        </w:rPr>
        <w:t>epithymía</w:t>
      </w:r>
      <w:proofErr w:type="spellEnd"/>
      <w:r>
        <w:rPr>
          <w:rFonts w:eastAsia="Segoe UI"/>
          <w:sz w:val="24"/>
          <w:shd w:val="clear" w:color="auto" w:fill="FFFFFF"/>
          <w:lang w:val="pt-BR"/>
        </w:rPr>
        <w:t xml:space="preserve"> como expressão dos apetites corporais. Vale notar que esta interpretação é debatida entre especialistas, pois a evidência de uma teoria formalmente tripartite antes de Platão não é consensual. Platão, ao formalizar essa estrutura, dialoga com uma tradição filosófica anterior que já intuía a complexidade da vida psíquica (CASERTANO, 2022).</w:t>
      </w:r>
    </w:p>
    <w:p w14:paraId="5BC379F4"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 xml:space="preserve">A leitura contemporânea que atribui ao </w:t>
      </w:r>
      <w:proofErr w:type="spellStart"/>
      <w:r>
        <w:rPr>
          <w:rFonts w:eastAsia="Segoe UI"/>
          <w:sz w:val="24"/>
          <w:shd w:val="clear" w:color="auto" w:fill="FFFFFF"/>
          <w:lang w:val="pt-BR"/>
        </w:rPr>
        <w:t>thymós</w:t>
      </w:r>
      <w:proofErr w:type="spellEnd"/>
      <w:r>
        <w:rPr>
          <w:rFonts w:eastAsia="Segoe UI"/>
          <w:sz w:val="24"/>
          <w:shd w:val="clear" w:color="auto" w:fill="FFFFFF"/>
          <w:lang w:val="pt-BR"/>
        </w:rPr>
        <w:t xml:space="preserve"> uma dimensão cognitiva pode ser válida como ampliação interpretativa, embora deva ser reconhecido que o </w:t>
      </w:r>
      <w:proofErr w:type="spellStart"/>
      <w:r>
        <w:rPr>
          <w:rFonts w:eastAsia="Segoe UI"/>
          <w:sz w:val="24"/>
          <w:shd w:val="clear" w:color="auto" w:fill="FFFFFF"/>
          <w:lang w:val="pt-BR"/>
        </w:rPr>
        <w:t>thymós</w:t>
      </w:r>
      <w:proofErr w:type="spellEnd"/>
      <w:r>
        <w:rPr>
          <w:rFonts w:eastAsia="Segoe UI"/>
          <w:sz w:val="24"/>
          <w:shd w:val="clear" w:color="auto" w:fill="FFFFFF"/>
          <w:lang w:val="pt-BR"/>
        </w:rPr>
        <w:t xml:space="preserve"> não se reduz à racionalidade do </w:t>
      </w:r>
      <w:proofErr w:type="spellStart"/>
      <w:r>
        <w:rPr>
          <w:rFonts w:eastAsia="Segoe UI"/>
          <w:sz w:val="24"/>
          <w:shd w:val="clear" w:color="auto" w:fill="FFFFFF"/>
          <w:lang w:val="pt-BR"/>
        </w:rPr>
        <w:t>nous</w:t>
      </w:r>
      <w:proofErr w:type="spellEnd"/>
      <w:r>
        <w:rPr>
          <w:rFonts w:eastAsia="Segoe UI"/>
          <w:sz w:val="24"/>
          <w:shd w:val="clear" w:color="auto" w:fill="FFFFFF"/>
          <w:lang w:val="pt-BR"/>
        </w:rPr>
        <w:t>, possuindo antes aspectos que envolvem processos mentais mais básicos.</w:t>
      </w:r>
    </w:p>
    <w:p w14:paraId="752A5EF4"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Este significado primordial, porém, foi empobrecido ao longo do século XX, quando a psiquiatria reduziu o termo a uma mera definição negativa: a simples ausência de sintomas de humor. Este capítulo, no entanto, advoga pelo resgate dessa concepção original, como veremos na seção a seguir.</w:t>
      </w:r>
    </w:p>
    <w:p w14:paraId="7589A442" w14:textId="77777777" w:rsidR="0003312E" w:rsidRDefault="0003312E">
      <w:pPr>
        <w:pStyle w:val="NormalWeb"/>
        <w:spacing w:beforeAutospacing="0" w:after="0" w:afterAutospacing="0" w:line="360" w:lineRule="auto"/>
        <w:ind w:firstLine="709"/>
        <w:jc w:val="both"/>
        <w:rPr>
          <w:rFonts w:eastAsia="Segoe UI"/>
          <w:sz w:val="24"/>
          <w:shd w:val="clear" w:color="auto" w:fill="FFFFFF"/>
          <w:lang w:val="pt-BR"/>
        </w:rPr>
      </w:pPr>
    </w:p>
    <w:p w14:paraId="59E1C342" w14:textId="450CA3B0" w:rsidR="00327D76" w:rsidRDefault="00000000" w:rsidP="00860E9E">
      <w:pPr>
        <w:pStyle w:val="NormalWeb"/>
        <w:numPr>
          <w:ilvl w:val="0"/>
          <w:numId w:val="3"/>
        </w:numPr>
        <w:spacing w:beforeAutospacing="0" w:after="0" w:afterAutospacing="0" w:line="360" w:lineRule="auto"/>
        <w:ind w:left="0" w:firstLine="709"/>
        <w:jc w:val="both"/>
        <w:rPr>
          <w:rFonts w:eastAsia="Segoe UI"/>
          <w:sz w:val="24"/>
          <w:shd w:val="clear" w:color="auto" w:fill="FFFFFF"/>
          <w:lang w:val="pt-BR"/>
        </w:rPr>
      </w:pPr>
      <w:r>
        <w:rPr>
          <w:rFonts w:eastAsia="Segoe UI"/>
          <w:b/>
          <w:bCs/>
          <w:sz w:val="24"/>
          <w:shd w:val="clear" w:color="auto" w:fill="FFFFFF"/>
          <w:lang w:val="pt-BR"/>
        </w:rPr>
        <w:t xml:space="preserve">Da </w:t>
      </w:r>
      <w:proofErr w:type="spellStart"/>
      <w:r w:rsidRPr="00327D76">
        <w:rPr>
          <w:rFonts w:eastAsia="Segoe UI"/>
          <w:b/>
          <w:bCs/>
          <w:i/>
          <w:iCs/>
          <w:sz w:val="24"/>
          <w:shd w:val="clear" w:color="auto" w:fill="FFFFFF"/>
          <w:lang w:val="pt-BR"/>
        </w:rPr>
        <w:t>Tranquillitas</w:t>
      </w:r>
      <w:proofErr w:type="spellEnd"/>
      <w:r w:rsidRPr="00327D76">
        <w:rPr>
          <w:rFonts w:eastAsia="Segoe UI"/>
          <w:b/>
          <w:bCs/>
          <w:i/>
          <w:iCs/>
          <w:sz w:val="24"/>
          <w:shd w:val="clear" w:color="auto" w:fill="FFFFFF"/>
          <w:lang w:val="pt-BR"/>
        </w:rPr>
        <w:t xml:space="preserve"> Animi</w:t>
      </w:r>
      <w:r>
        <w:rPr>
          <w:rFonts w:eastAsia="Segoe UI"/>
          <w:b/>
          <w:bCs/>
          <w:sz w:val="24"/>
          <w:shd w:val="clear" w:color="auto" w:fill="FFFFFF"/>
          <w:lang w:val="pt-BR"/>
        </w:rPr>
        <w:t xml:space="preserve"> à Ciência Clínica: A Dimensão Histórica</w:t>
      </w:r>
    </w:p>
    <w:p w14:paraId="77CCA36F" w14:textId="77777777" w:rsidR="00860E9E" w:rsidRDefault="00000000" w:rsidP="00860E9E">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 xml:space="preserve">A trajetória do conceito de eutimia é uma fascinante história de renascimento, uma ponte entre a sabedoria antiga e a precisão da ciência moderna. Tudo começou na Grécia Antiga, com Demócrito, que via a eutimia não como uma euforia passageira, mas como uma serenidade profunda, uma "quieta satisfação" conquistada através do autoconhecimento, da moderação e da libertação de temores infundados. Séculos mais tarde, em Roma, Sêneca traduziu essa ideia para o latim como </w:t>
      </w:r>
      <w:proofErr w:type="spellStart"/>
      <w:r>
        <w:rPr>
          <w:rFonts w:eastAsia="Segoe UI"/>
          <w:sz w:val="24"/>
          <w:shd w:val="clear" w:color="auto" w:fill="FFFFFF"/>
          <w:lang w:val="pt-BR"/>
        </w:rPr>
        <w:t>tranquillitas</w:t>
      </w:r>
      <w:proofErr w:type="spellEnd"/>
      <w:r>
        <w:rPr>
          <w:rFonts w:eastAsia="Segoe UI"/>
          <w:sz w:val="24"/>
          <w:shd w:val="clear" w:color="auto" w:fill="FFFFFF"/>
          <w:lang w:val="pt-BR"/>
        </w:rPr>
        <w:t xml:space="preserve"> animi – a tranquilidade da alma –, enfatizando que se tratava de um processo ativo de aprendizado e sabedoria prática, uma noção também explorada pelos estoicos com seus ideais de ataraxia.</w:t>
      </w:r>
    </w:p>
    <w:p w14:paraId="3C6F6E4A" w14:textId="668E2FCC" w:rsidR="0003312E" w:rsidRDefault="00000000" w:rsidP="00860E9E">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 xml:space="preserve">No entanto, após esse florescimento inicial, a eutimia praticamente desapareceu do vocabulário filosófico. Enquanto a medicina avançava, seu foco era quase exclusivamente a patologia, o que deixou o conceito de bem-estar positivo em segundo plano. Foi somente em 1958 que a psicóloga Marie </w:t>
      </w:r>
      <w:proofErr w:type="spellStart"/>
      <w:r>
        <w:rPr>
          <w:rFonts w:eastAsia="Segoe UI"/>
          <w:sz w:val="24"/>
          <w:shd w:val="clear" w:color="auto" w:fill="FFFFFF"/>
          <w:lang w:val="pt-BR"/>
        </w:rPr>
        <w:t>Jahoda</w:t>
      </w:r>
      <w:proofErr w:type="spellEnd"/>
      <w:r>
        <w:rPr>
          <w:rFonts w:eastAsia="Segoe UI"/>
          <w:sz w:val="24"/>
          <w:shd w:val="clear" w:color="auto" w:fill="FFFFFF"/>
          <w:lang w:val="pt-BR"/>
        </w:rPr>
        <w:t xml:space="preserve"> reacendeu a chama. Sem usar diretamente o termo "eutimia", ela argumentou, de forma revolucionária, que a saúde mental não podia ser definida apenas pela </w:t>
      </w:r>
      <w:r>
        <w:rPr>
          <w:rFonts w:eastAsia="Segoe UI"/>
          <w:sz w:val="24"/>
          <w:shd w:val="clear" w:color="auto" w:fill="FFFFFF"/>
          <w:lang w:val="pt-BR"/>
        </w:rPr>
        <w:lastRenderedPageBreak/>
        <w:t>ausência de doença, mas devia incluir elementos positivos como autonomia, propósito de vida e crescimento pessoal.</w:t>
      </w:r>
    </w:p>
    <w:p w14:paraId="19E6DF88" w14:textId="77777777" w:rsidR="0003312E" w:rsidRDefault="00000000" w:rsidP="00860E9E">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 xml:space="preserve">Esta visão pioneira, porém, esbarrava na prática clínica tradicional, que definia a eutimia de forma muito restrita, como a simples ausência de sintomas de transtornos de humor. Era uma definição insuficiente, pois muitos pacientes considerados "curados" ainda não conseguiam experimentar um bem-estar psicológico pleno. Para superar essa limitação, Carol Ryff, no final da década de 1980, criou as escalas de Bem-Estar Psicológico, transformando os critérios teóricos de </w:t>
      </w:r>
      <w:proofErr w:type="spellStart"/>
      <w:r>
        <w:rPr>
          <w:rFonts w:eastAsia="Segoe UI"/>
          <w:sz w:val="24"/>
          <w:shd w:val="clear" w:color="auto" w:fill="FFFFFF"/>
          <w:lang w:val="pt-BR"/>
        </w:rPr>
        <w:t>Jahoda</w:t>
      </w:r>
      <w:proofErr w:type="spellEnd"/>
      <w:r>
        <w:rPr>
          <w:rFonts w:eastAsia="Segoe UI"/>
          <w:sz w:val="24"/>
          <w:shd w:val="clear" w:color="auto" w:fill="FFFFFF"/>
          <w:lang w:val="pt-BR"/>
        </w:rPr>
        <w:t xml:space="preserve"> em uma ferramenta mensurável. Paralelamente, pesquisadores como </w:t>
      </w:r>
      <w:proofErr w:type="spellStart"/>
      <w:r>
        <w:rPr>
          <w:rFonts w:eastAsia="Segoe UI"/>
          <w:sz w:val="24"/>
          <w:shd w:val="clear" w:color="auto" w:fill="FFFFFF"/>
          <w:lang w:val="pt-BR"/>
        </w:rPr>
        <w:t>Garamoni</w:t>
      </w:r>
      <w:proofErr w:type="spellEnd"/>
      <w:r>
        <w:rPr>
          <w:rFonts w:eastAsia="Segoe UI"/>
          <w:sz w:val="24"/>
          <w:shd w:val="clear" w:color="auto" w:fill="FFFFFF"/>
          <w:lang w:val="pt-BR"/>
        </w:rPr>
        <w:t xml:space="preserve"> refinavam a ideia, propondo que a eutimia era um equilíbrio dinâmico entre experiências positivas e negativas, e não uma positividade excessiva e irreal.</w:t>
      </w:r>
      <w:r>
        <w:rPr>
          <w:rFonts w:eastAsia="Segoe UI"/>
          <w:sz w:val="24"/>
          <w:shd w:val="clear" w:color="auto" w:fill="FFFFFF"/>
          <w:lang w:val="pt-BR"/>
        </w:rPr>
        <w:br/>
        <w:t xml:space="preserve">O marco decisivo para a </w:t>
      </w:r>
      <w:proofErr w:type="spellStart"/>
      <w:r>
        <w:rPr>
          <w:rFonts w:eastAsia="Segoe UI"/>
          <w:sz w:val="24"/>
          <w:shd w:val="clear" w:color="auto" w:fill="FFFFFF"/>
          <w:lang w:val="pt-BR"/>
        </w:rPr>
        <w:t>reconceitualização</w:t>
      </w:r>
      <w:proofErr w:type="spellEnd"/>
      <w:r>
        <w:rPr>
          <w:rFonts w:eastAsia="Segoe UI"/>
          <w:sz w:val="24"/>
          <w:shd w:val="clear" w:color="auto" w:fill="FFFFFF"/>
          <w:lang w:val="pt-BR"/>
        </w:rPr>
        <w:t xml:space="preserve"> moderna veio em 2016, com Fava e Bech. Eles declararam formalmente a insuficiência da definição puramente negativa e propuseram uma visão tripartite para a eutimia clínica. Segundo eles, o estado eutímico vai além da remissão de sintomas; ele incorpora a presença de afetos positivos (como alegria e interesse) e um bem-estar psicológico caracterizado por flexibilidade, consistência e, crucialmente, resiliência – a capacidade de resistir ao estresse. Esta visão consolidou-se como um mapa conceitual completo, liderado por Guidi e Fava em 2022, solidificando a eutimia como um alvo terapêutico tangível, conectando a filosofia ancestral aos mecanismos neurobiológicos e às intervenções clínicas do século </w:t>
      </w:r>
      <w:proofErr w:type="spellStart"/>
      <w:r>
        <w:rPr>
          <w:rFonts w:eastAsia="Segoe UI"/>
          <w:sz w:val="24"/>
          <w:shd w:val="clear" w:color="auto" w:fill="FFFFFF"/>
          <w:lang w:val="pt-BR"/>
        </w:rPr>
        <w:t>XXI.Como</w:t>
      </w:r>
      <w:proofErr w:type="spellEnd"/>
      <w:r>
        <w:rPr>
          <w:rFonts w:eastAsia="Segoe UI"/>
          <w:sz w:val="24"/>
          <w:shd w:val="clear" w:color="auto" w:fill="FFFFFF"/>
          <w:lang w:val="pt-BR"/>
        </w:rPr>
        <w:t xml:space="preserve"> sintetizam Fava e colaboradores (2021), a eutimia deve abandonar sua antiga condição de sinónimo de "humor normal". Em seu lugar, propõe-se uma visão expandida e ambiciosa, que incorpora o bem-estar psicológico, a resiliência emocional e a remissão completa de sintomas. Já não se trata apenas de não estar doente, mas de cultivar ativamente a saúde mental - transformando a eutimia na expressão tangível de uma vida psíquica plena e afirmativa.</w:t>
      </w:r>
    </w:p>
    <w:p w14:paraId="491A254B" w14:textId="77777777" w:rsidR="0003312E" w:rsidRDefault="0003312E" w:rsidP="00860E9E">
      <w:pPr>
        <w:pStyle w:val="NormalWeb"/>
        <w:spacing w:beforeAutospacing="0" w:after="0" w:afterAutospacing="0" w:line="360" w:lineRule="auto"/>
        <w:ind w:firstLine="709"/>
        <w:jc w:val="both"/>
        <w:rPr>
          <w:rFonts w:eastAsia="Segoe UI"/>
          <w:sz w:val="24"/>
          <w:shd w:val="clear" w:color="auto" w:fill="FFFFFF"/>
          <w:lang w:val="pt-BR"/>
        </w:rPr>
      </w:pPr>
    </w:p>
    <w:p w14:paraId="0B1593A1" w14:textId="77777777" w:rsidR="0003312E" w:rsidRDefault="0003312E">
      <w:pPr>
        <w:pStyle w:val="NormalWeb"/>
        <w:spacing w:beforeAutospacing="0" w:after="0" w:afterAutospacing="0" w:line="360" w:lineRule="auto"/>
        <w:ind w:firstLine="709"/>
        <w:jc w:val="both"/>
        <w:rPr>
          <w:rFonts w:eastAsia="Segoe UI"/>
          <w:b/>
          <w:bCs/>
          <w:sz w:val="24"/>
          <w:shd w:val="clear" w:color="auto" w:fill="FFFFFF"/>
          <w:lang w:val="pt-BR"/>
        </w:rPr>
      </w:pPr>
    </w:p>
    <w:p w14:paraId="55CD31BF" w14:textId="77777777" w:rsidR="0003312E" w:rsidRDefault="0003312E">
      <w:pPr>
        <w:pStyle w:val="NormalWeb"/>
        <w:spacing w:beforeAutospacing="0" w:after="0" w:afterAutospacing="0" w:line="360" w:lineRule="auto"/>
        <w:ind w:firstLine="709"/>
        <w:jc w:val="both"/>
        <w:rPr>
          <w:rFonts w:eastAsia="Segoe UI"/>
          <w:b/>
          <w:bCs/>
          <w:sz w:val="24"/>
          <w:shd w:val="clear" w:color="auto" w:fill="FFFFFF"/>
          <w:lang w:val="pt-BR"/>
        </w:rPr>
      </w:pPr>
    </w:p>
    <w:p w14:paraId="3BFA574F" w14:textId="77777777" w:rsidR="0003312E" w:rsidRDefault="0003312E">
      <w:pPr>
        <w:pStyle w:val="NormalWeb"/>
        <w:spacing w:beforeAutospacing="0" w:after="0" w:afterAutospacing="0" w:line="360" w:lineRule="auto"/>
        <w:ind w:firstLine="709"/>
        <w:jc w:val="both"/>
        <w:rPr>
          <w:rFonts w:eastAsia="Segoe UI"/>
          <w:b/>
          <w:bCs/>
          <w:sz w:val="24"/>
          <w:shd w:val="clear" w:color="auto" w:fill="FFFFFF"/>
          <w:lang w:val="pt-BR"/>
        </w:rPr>
      </w:pPr>
    </w:p>
    <w:p w14:paraId="0DF45342" w14:textId="77777777" w:rsidR="0003312E" w:rsidRDefault="0003312E">
      <w:pPr>
        <w:pStyle w:val="NormalWeb"/>
        <w:spacing w:beforeAutospacing="0" w:after="0" w:afterAutospacing="0" w:line="360" w:lineRule="auto"/>
        <w:ind w:firstLine="709"/>
        <w:jc w:val="both"/>
        <w:rPr>
          <w:rFonts w:eastAsia="Segoe UI"/>
          <w:b/>
          <w:bCs/>
          <w:sz w:val="24"/>
          <w:shd w:val="clear" w:color="auto" w:fill="FFFFFF"/>
          <w:lang w:val="pt-BR"/>
        </w:rPr>
      </w:pPr>
    </w:p>
    <w:p w14:paraId="712AD17B" w14:textId="77777777" w:rsidR="0003312E" w:rsidRDefault="0003312E">
      <w:pPr>
        <w:pStyle w:val="NormalWeb"/>
        <w:spacing w:beforeAutospacing="0" w:after="0" w:afterAutospacing="0" w:line="360" w:lineRule="auto"/>
        <w:ind w:firstLine="709"/>
        <w:jc w:val="both"/>
        <w:rPr>
          <w:rFonts w:eastAsia="Segoe UI"/>
          <w:b/>
          <w:bCs/>
          <w:sz w:val="24"/>
          <w:shd w:val="clear" w:color="auto" w:fill="FFFFFF"/>
          <w:lang w:val="pt-BR"/>
        </w:rPr>
      </w:pPr>
    </w:p>
    <w:p w14:paraId="12B358F7" w14:textId="77777777" w:rsidR="0003312E" w:rsidRDefault="0003312E">
      <w:pPr>
        <w:pStyle w:val="NormalWeb"/>
        <w:spacing w:beforeAutospacing="0" w:after="0" w:afterAutospacing="0" w:line="360" w:lineRule="auto"/>
        <w:ind w:firstLine="709"/>
        <w:jc w:val="both"/>
        <w:rPr>
          <w:rFonts w:eastAsia="Segoe UI"/>
          <w:b/>
          <w:bCs/>
          <w:sz w:val="24"/>
          <w:shd w:val="clear" w:color="auto" w:fill="FFFFFF"/>
          <w:lang w:val="pt-BR"/>
        </w:rPr>
      </w:pPr>
    </w:p>
    <w:p w14:paraId="0568CA2F" w14:textId="77777777" w:rsidR="0003312E" w:rsidRDefault="0003312E">
      <w:pPr>
        <w:pStyle w:val="NormalWeb"/>
        <w:spacing w:beforeAutospacing="0" w:after="0" w:afterAutospacing="0" w:line="360" w:lineRule="auto"/>
        <w:ind w:firstLine="709"/>
        <w:jc w:val="both"/>
        <w:rPr>
          <w:rFonts w:eastAsia="Segoe UI"/>
          <w:b/>
          <w:bCs/>
          <w:sz w:val="24"/>
          <w:shd w:val="clear" w:color="auto" w:fill="FFFFFF"/>
          <w:lang w:val="pt-BR"/>
        </w:rPr>
      </w:pPr>
    </w:p>
    <w:p w14:paraId="2021275F"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b/>
          <w:bCs/>
          <w:sz w:val="24"/>
          <w:shd w:val="clear" w:color="auto" w:fill="FFFFFF"/>
          <w:lang w:val="pt-BR"/>
        </w:rPr>
        <w:lastRenderedPageBreak/>
        <w:t>Quadro 10.1 - Evolução Histórica do Conceito de Eutimia: Da Filosofia à Ciência Clínica</w:t>
      </w:r>
      <w:r>
        <w:rPr>
          <w:rFonts w:eastAsia="Segoe UI"/>
          <w:sz w:val="24"/>
          <w:shd w:val="clear" w:color="auto" w:fill="FFFFFF"/>
          <w:lang w:val="pt-BR"/>
        </w:rPr>
        <w:br/>
        <w:t xml:space="preserve">(Baseada na revisão de Fava &amp; Guidi (2020) - "The </w:t>
      </w:r>
      <w:proofErr w:type="spellStart"/>
      <w:r>
        <w:rPr>
          <w:rFonts w:eastAsia="Segoe UI"/>
          <w:sz w:val="24"/>
          <w:shd w:val="clear" w:color="auto" w:fill="FFFFFF"/>
          <w:lang w:val="pt-BR"/>
        </w:rPr>
        <w:t>Evolving</w:t>
      </w:r>
      <w:proofErr w:type="spellEnd"/>
      <w:r>
        <w:rPr>
          <w:rFonts w:eastAsia="Segoe UI"/>
          <w:sz w:val="24"/>
          <w:shd w:val="clear" w:color="auto" w:fill="FFFFFF"/>
          <w:lang w:val="pt-BR"/>
        </w:rPr>
        <w:t xml:space="preserve"> Science </w:t>
      </w:r>
      <w:proofErr w:type="spellStart"/>
      <w:r>
        <w:rPr>
          <w:rFonts w:eastAsia="Segoe UI"/>
          <w:sz w:val="24"/>
          <w:shd w:val="clear" w:color="auto" w:fill="FFFFFF"/>
          <w:lang w:val="pt-BR"/>
        </w:rPr>
        <w:t>of</w:t>
      </w:r>
      <w:proofErr w:type="spellEnd"/>
      <w:r>
        <w:rPr>
          <w:rFonts w:eastAsia="Segoe UI"/>
          <w:sz w:val="24"/>
          <w:shd w:val="clear" w:color="auto" w:fill="FFFFFF"/>
          <w:lang w:val="pt-BR"/>
        </w:rPr>
        <w:t xml:space="preserve"> </w:t>
      </w:r>
      <w:proofErr w:type="spellStart"/>
      <w:r>
        <w:rPr>
          <w:rFonts w:eastAsia="Segoe UI"/>
          <w:sz w:val="24"/>
          <w:shd w:val="clear" w:color="auto" w:fill="FFFFFF"/>
          <w:lang w:val="pt-BR"/>
        </w:rPr>
        <w:t>Euthymia</w:t>
      </w:r>
      <w:proofErr w:type="spellEnd"/>
      <w:r>
        <w:rPr>
          <w:rFonts w:eastAsia="Segoe UI"/>
          <w:sz w:val="24"/>
          <w:shd w:val="clear" w:color="auto" w:fill="FFFFFF"/>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04"/>
        <w:gridCol w:w="2331"/>
        <w:gridCol w:w="4526"/>
      </w:tblGrid>
      <w:tr w:rsidR="0003312E" w14:paraId="1AC52B64" w14:textId="77777777">
        <w:trPr>
          <w:tblHeader/>
        </w:trPr>
        <w:tc>
          <w:tcPr>
            <w:tcW w:w="0" w:type="auto"/>
            <w:tcMar>
              <w:top w:w="150" w:type="dxa"/>
              <w:left w:w="0" w:type="dxa"/>
              <w:bottom w:w="150" w:type="dxa"/>
              <w:right w:w="240" w:type="dxa"/>
            </w:tcMar>
            <w:vAlign w:val="center"/>
          </w:tcPr>
          <w:p w14:paraId="32F02721" w14:textId="77777777" w:rsidR="0003312E" w:rsidRDefault="00000000">
            <w:pPr>
              <w:pStyle w:val="NormalWeb"/>
              <w:spacing w:beforeAutospacing="0" w:after="0" w:afterAutospacing="0" w:line="240" w:lineRule="auto"/>
              <w:rPr>
                <w:rFonts w:eastAsia="Segoe UI"/>
                <w:b/>
                <w:bCs/>
                <w:sz w:val="20"/>
                <w:szCs w:val="20"/>
                <w:shd w:val="clear" w:color="auto" w:fill="FFFFFF"/>
              </w:rPr>
            </w:pPr>
            <w:proofErr w:type="spellStart"/>
            <w:r>
              <w:rPr>
                <w:rFonts w:eastAsia="Segoe UI"/>
                <w:b/>
                <w:bCs/>
                <w:sz w:val="20"/>
                <w:szCs w:val="20"/>
                <w:shd w:val="clear" w:color="auto" w:fill="FFFFFF"/>
              </w:rPr>
              <w:t>Época</w:t>
            </w:r>
            <w:proofErr w:type="spellEnd"/>
          </w:p>
        </w:tc>
        <w:tc>
          <w:tcPr>
            <w:tcW w:w="0" w:type="auto"/>
            <w:tcMar>
              <w:top w:w="150" w:type="dxa"/>
              <w:left w:w="240" w:type="dxa"/>
              <w:bottom w:w="150" w:type="dxa"/>
              <w:right w:w="240" w:type="dxa"/>
            </w:tcMar>
            <w:vAlign w:val="center"/>
          </w:tcPr>
          <w:p w14:paraId="4219D8A2" w14:textId="77777777" w:rsidR="0003312E" w:rsidRDefault="00000000">
            <w:pPr>
              <w:pStyle w:val="NormalWeb"/>
              <w:spacing w:beforeAutospacing="0" w:after="0" w:afterAutospacing="0" w:line="240" w:lineRule="auto"/>
              <w:rPr>
                <w:rFonts w:eastAsia="Segoe UI"/>
                <w:b/>
                <w:bCs/>
                <w:sz w:val="20"/>
                <w:szCs w:val="20"/>
                <w:shd w:val="clear" w:color="auto" w:fill="FFFFFF"/>
              </w:rPr>
            </w:pPr>
            <w:r>
              <w:rPr>
                <w:rFonts w:eastAsia="Segoe UI"/>
                <w:b/>
                <w:bCs/>
                <w:sz w:val="20"/>
                <w:szCs w:val="20"/>
                <w:shd w:val="clear" w:color="auto" w:fill="FFFFFF"/>
              </w:rPr>
              <w:t>Marco Histórico</w:t>
            </w:r>
          </w:p>
        </w:tc>
        <w:tc>
          <w:tcPr>
            <w:tcW w:w="0" w:type="auto"/>
            <w:tcMar>
              <w:top w:w="150" w:type="dxa"/>
              <w:left w:w="240" w:type="dxa"/>
              <w:bottom w:w="150" w:type="dxa"/>
              <w:right w:w="240" w:type="dxa"/>
            </w:tcMar>
            <w:vAlign w:val="center"/>
          </w:tcPr>
          <w:p w14:paraId="749888CE" w14:textId="77777777" w:rsidR="0003312E" w:rsidRDefault="00000000">
            <w:pPr>
              <w:pStyle w:val="NormalWeb"/>
              <w:spacing w:beforeAutospacing="0" w:after="0" w:afterAutospacing="0" w:line="240" w:lineRule="auto"/>
              <w:rPr>
                <w:rFonts w:eastAsia="Segoe UI"/>
                <w:b/>
                <w:bCs/>
                <w:sz w:val="20"/>
                <w:szCs w:val="20"/>
                <w:shd w:val="clear" w:color="auto" w:fill="FFFFFF"/>
                <w:lang w:val="pt-BR"/>
              </w:rPr>
            </w:pPr>
            <w:r>
              <w:rPr>
                <w:rFonts w:eastAsia="Segoe UI"/>
                <w:b/>
                <w:bCs/>
                <w:sz w:val="20"/>
                <w:szCs w:val="20"/>
                <w:shd w:val="clear" w:color="auto" w:fill="FFFFFF"/>
                <w:lang w:val="pt-BR"/>
              </w:rPr>
              <w:t>Contribuição para o Conceito de Eutimia</w:t>
            </w:r>
          </w:p>
        </w:tc>
      </w:tr>
      <w:tr w:rsidR="0003312E" w14:paraId="29FA851C" w14:textId="77777777">
        <w:tc>
          <w:tcPr>
            <w:tcW w:w="0" w:type="auto"/>
            <w:tcMar>
              <w:top w:w="150" w:type="dxa"/>
              <w:left w:w="0" w:type="dxa"/>
              <w:bottom w:w="150" w:type="dxa"/>
              <w:right w:w="240" w:type="dxa"/>
            </w:tcMar>
            <w:vAlign w:val="center"/>
          </w:tcPr>
          <w:p w14:paraId="191E6C2E" w14:textId="77777777" w:rsidR="0003312E" w:rsidRDefault="00000000">
            <w:pPr>
              <w:pStyle w:val="NormalWeb"/>
              <w:spacing w:beforeAutospacing="0" w:after="0" w:afterAutospacing="0" w:line="240" w:lineRule="auto"/>
              <w:rPr>
                <w:rFonts w:eastAsia="Segoe UI"/>
                <w:b/>
                <w:bCs/>
                <w:sz w:val="20"/>
                <w:szCs w:val="20"/>
                <w:shd w:val="clear" w:color="auto" w:fill="FFFFFF"/>
                <w:lang w:val="pt-BR"/>
              </w:rPr>
            </w:pPr>
            <w:r>
              <w:rPr>
                <w:rFonts w:eastAsia="Segoe UI"/>
                <w:b/>
                <w:bCs/>
                <w:sz w:val="20"/>
                <w:szCs w:val="20"/>
                <w:shd w:val="clear" w:color="auto" w:fill="FFFFFF"/>
                <w:lang w:val="pt-BR"/>
              </w:rPr>
              <w:t>Grécia Antiga (século V AEC)</w:t>
            </w:r>
          </w:p>
        </w:tc>
        <w:tc>
          <w:tcPr>
            <w:tcW w:w="0" w:type="auto"/>
            <w:tcMar>
              <w:top w:w="150" w:type="dxa"/>
              <w:left w:w="240" w:type="dxa"/>
              <w:bottom w:w="150" w:type="dxa"/>
              <w:right w:w="240" w:type="dxa"/>
            </w:tcMar>
            <w:vAlign w:val="center"/>
          </w:tcPr>
          <w:p w14:paraId="3F28D3D0" w14:textId="77777777" w:rsidR="0003312E" w:rsidRDefault="00000000">
            <w:pPr>
              <w:pStyle w:val="NormalWeb"/>
              <w:spacing w:beforeAutospacing="0" w:after="0" w:afterAutospacing="0" w:line="240" w:lineRule="auto"/>
              <w:rPr>
                <w:rFonts w:eastAsia="Segoe UI"/>
                <w:sz w:val="20"/>
                <w:szCs w:val="20"/>
                <w:shd w:val="clear" w:color="auto" w:fill="FFFFFF"/>
              </w:rPr>
            </w:pPr>
            <w:proofErr w:type="spellStart"/>
            <w:r>
              <w:rPr>
                <w:rFonts w:eastAsia="Segoe UI"/>
                <w:sz w:val="20"/>
                <w:szCs w:val="20"/>
                <w:shd w:val="clear" w:color="auto" w:fill="FFFFFF"/>
              </w:rPr>
              <w:t>Demócrito</w:t>
            </w:r>
            <w:proofErr w:type="spellEnd"/>
            <w:r>
              <w:rPr>
                <w:rFonts w:eastAsia="Segoe UI"/>
                <w:sz w:val="20"/>
                <w:szCs w:val="20"/>
                <w:shd w:val="clear" w:color="auto" w:fill="FFFFFF"/>
              </w:rPr>
              <w:t xml:space="preserve"> (c. 460-370 AEC)</w:t>
            </w:r>
          </w:p>
        </w:tc>
        <w:tc>
          <w:tcPr>
            <w:tcW w:w="0" w:type="auto"/>
            <w:tcMar>
              <w:top w:w="150" w:type="dxa"/>
              <w:left w:w="240" w:type="dxa"/>
              <w:bottom w:w="150" w:type="dxa"/>
              <w:right w:w="0" w:type="dxa"/>
            </w:tcMar>
            <w:vAlign w:val="center"/>
          </w:tcPr>
          <w:p w14:paraId="1C52A7C2" w14:textId="77777777" w:rsidR="0003312E" w:rsidRDefault="00000000">
            <w:pPr>
              <w:pStyle w:val="NormalWeb"/>
              <w:spacing w:beforeAutospacing="0" w:after="0" w:afterAutospacing="0" w:line="240" w:lineRule="auto"/>
              <w:rPr>
                <w:rFonts w:eastAsia="Segoe UI"/>
                <w:sz w:val="20"/>
                <w:szCs w:val="20"/>
                <w:shd w:val="clear" w:color="auto" w:fill="FFFFFF"/>
              </w:rPr>
            </w:pPr>
            <w:r>
              <w:rPr>
                <w:rFonts w:eastAsia="Segoe UI"/>
                <w:sz w:val="20"/>
                <w:szCs w:val="20"/>
                <w:shd w:val="clear" w:color="auto" w:fill="FFFFFF"/>
                <w:lang w:val="pt-BR"/>
              </w:rPr>
              <w:t xml:space="preserve">Estabeleceu as bases filosóficas: satisfação com o presente, evitando comparações sociais negativas. </w:t>
            </w:r>
            <w:proofErr w:type="spellStart"/>
            <w:r>
              <w:rPr>
                <w:rFonts w:eastAsia="Segoe UI"/>
                <w:sz w:val="20"/>
                <w:szCs w:val="20"/>
                <w:shd w:val="clear" w:color="auto" w:fill="FFFFFF"/>
              </w:rPr>
              <w:t>Conceito</w:t>
            </w:r>
            <w:proofErr w:type="spellEnd"/>
            <w:r>
              <w:rPr>
                <w:rFonts w:eastAsia="Segoe UI"/>
                <w:sz w:val="20"/>
                <w:szCs w:val="20"/>
                <w:shd w:val="clear" w:color="auto" w:fill="FFFFFF"/>
              </w:rPr>
              <w:t xml:space="preserve"> de </w:t>
            </w:r>
            <w:proofErr w:type="spellStart"/>
            <w:r>
              <w:rPr>
                <w:rFonts w:eastAsia="Segoe UI"/>
                <w:sz w:val="20"/>
                <w:szCs w:val="20"/>
                <w:shd w:val="clear" w:color="auto" w:fill="FFFFFF"/>
              </w:rPr>
              <w:t>equilíbrio</w:t>
            </w:r>
            <w:proofErr w:type="spellEnd"/>
            <w:r>
              <w:rPr>
                <w:rFonts w:eastAsia="Segoe UI"/>
                <w:sz w:val="20"/>
                <w:szCs w:val="20"/>
                <w:shd w:val="clear" w:color="auto" w:fill="FFFFFF"/>
              </w:rPr>
              <w:t xml:space="preserve"> </w:t>
            </w:r>
            <w:proofErr w:type="spellStart"/>
            <w:r>
              <w:rPr>
                <w:rFonts w:eastAsia="Segoe UI"/>
                <w:sz w:val="20"/>
                <w:szCs w:val="20"/>
                <w:shd w:val="clear" w:color="auto" w:fill="FFFFFF"/>
              </w:rPr>
              <w:t>interno</w:t>
            </w:r>
            <w:proofErr w:type="spellEnd"/>
            <w:r>
              <w:rPr>
                <w:rFonts w:eastAsia="Segoe UI"/>
                <w:sz w:val="20"/>
                <w:szCs w:val="20"/>
                <w:shd w:val="clear" w:color="auto" w:fill="FFFFFF"/>
              </w:rPr>
              <w:t xml:space="preserve"> </w:t>
            </w:r>
            <w:proofErr w:type="spellStart"/>
            <w:r>
              <w:rPr>
                <w:rFonts w:eastAsia="Segoe UI"/>
                <w:sz w:val="20"/>
                <w:szCs w:val="20"/>
                <w:shd w:val="clear" w:color="auto" w:fill="FFFFFF"/>
              </w:rPr>
              <w:t>como</w:t>
            </w:r>
            <w:proofErr w:type="spellEnd"/>
            <w:r>
              <w:rPr>
                <w:rFonts w:eastAsia="Segoe UI"/>
                <w:sz w:val="20"/>
                <w:szCs w:val="20"/>
                <w:shd w:val="clear" w:color="auto" w:fill="FFFFFF"/>
              </w:rPr>
              <w:t xml:space="preserve"> </w:t>
            </w:r>
            <w:proofErr w:type="spellStart"/>
            <w:r>
              <w:rPr>
                <w:rFonts w:eastAsia="Segoe UI"/>
                <w:sz w:val="20"/>
                <w:szCs w:val="20"/>
                <w:shd w:val="clear" w:color="auto" w:fill="FFFFFF"/>
              </w:rPr>
              <w:t>fundamento</w:t>
            </w:r>
            <w:proofErr w:type="spellEnd"/>
            <w:r>
              <w:rPr>
                <w:rFonts w:eastAsia="Segoe UI"/>
                <w:sz w:val="20"/>
                <w:szCs w:val="20"/>
                <w:shd w:val="clear" w:color="auto" w:fill="FFFFFF"/>
              </w:rPr>
              <w:t xml:space="preserve"> do </w:t>
            </w:r>
            <w:proofErr w:type="spellStart"/>
            <w:r>
              <w:rPr>
                <w:rFonts w:eastAsia="Segoe UI"/>
                <w:sz w:val="20"/>
                <w:szCs w:val="20"/>
                <w:shd w:val="clear" w:color="auto" w:fill="FFFFFF"/>
              </w:rPr>
              <w:t>bem-estar</w:t>
            </w:r>
            <w:proofErr w:type="spellEnd"/>
            <w:r>
              <w:rPr>
                <w:rFonts w:eastAsia="Segoe UI"/>
                <w:sz w:val="20"/>
                <w:szCs w:val="20"/>
                <w:shd w:val="clear" w:color="auto" w:fill="FFFFFF"/>
              </w:rPr>
              <w:t>.</w:t>
            </w:r>
          </w:p>
        </w:tc>
      </w:tr>
      <w:tr w:rsidR="0003312E" w14:paraId="18BF002A" w14:textId="77777777">
        <w:tc>
          <w:tcPr>
            <w:tcW w:w="0" w:type="auto"/>
            <w:tcMar>
              <w:top w:w="150" w:type="dxa"/>
              <w:left w:w="0" w:type="dxa"/>
              <w:bottom w:w="150" w:type="dxa"/>
              <w:right w:w="240" w:type="dxa"/>
            </w:tcMar>
            <w:vAlign w:val="center"/>
          </w:tcPr>
          <w:p w14:paraId="0AD14F87" w14:textId="77777777" w:rsidR="0003312E" w:rsidRDefault="00000000">
            <w:pPr>
              <w:pStyle w:val="NormalWeb"/>
              <w:spacing w:beforeAutospacing="0" w:after="0" w:afterAutospacing="0" w:line="240" w:lineRule="auto"/>
              <w:rPr>
                <w:rFonts w:eastAsia="Segoe UI"/>
                <w:b/>
                <w:bCs/>
                <w:sz w:val="20"/>
                <w:szCs w:val="20"/>
                <w:shd w:val="clear" w:color="auto" w:fill="FFFFFF"/>
                <w:lang w:val="pt-BR"/>
              </w:rPr>
            </w:pPr>
            <w:r>
              <w:rPr>
                <w:rFonts w:eastAsia="Segoe UI"/>
                <w:b/>
                <w:bCs/>
                <w:sz w:val="20"/>
                <w:szCs w:val="20"/>
                <w:shd w:val="clear" w:color="auto" w:fill="FFFFFF"/>
                <w:lang w:val="pt-BR"/>
              </w:rPr>
              <w:t>Período Helenístico e Romano (séculos IV AEC - II EC)</w:t>
            </w:r>
          </w:p>
        </w:tc>
        <w:tc>
          <w:tcPr>
            <w:tcW w:w="0" w:type="auto"/>
            <w:tcMar>
              <w:top w:w="150" w:type="dxa"/>
              <w:left w:w="240" w:type="dxa"/>
              <w:bottom w:w="150" w:type="dxa"/>
              <w:right w:w="240" w:type="dxa"/>
            </w:tcMar>
            <w:vAlign w:val="center"/>
          </w:tcPr>
          <w:p w14:paraId="1AE4A50B" w14:textId="77777777" w:rsidR="0003312E" w:rsidRDefault="00000000">
            <w:pPr>
              <w:pStyle w:val="NormalWeb"/>
              <w:spacing w:beforeAutospacing="0" w:after="0" w:afterAutospacing="0" w:line="240" w:lineRule="auto"/>
              <w:rPr>
                <w:rFonts w:eastAsia="Segoe UI"/>
                <w:sz w:val="20"/>
                <w:szCs w:val="20"/>
                <w:shd w:val="clear" w:color="auto" w:fill="FFFFFF"/>
                <w:lang w:val="pt-BR"/>
              </w:rPr>
            </w:pPr>
            <w:r>
              <w:rPr>
                <w:rFonts w:eastAsia="Segoe UI"/>
                <w:sz w:val="20"/>
                <w:szCs w:val="20"/>
                <w:shd w:val="clear" w:color="auto" w:fill="FFFFFF"/>
                <w:lang w:val="pt-BR"/>
              </w:rPr>
              <w:t>Sêneca (4 AEC-65 EC) Plutarco (46-120 EC)</w:t>
            </w:r>
          </w:p>
        </w:tc>
        <w:tc>
          <w:tcPr>
            <w:tcW w:w="0" w:type="auto"/>
            <w:tcMar>
              <w:top w:w="150" w:type="dxa"/>
              <w:left w:w="240" w:type="dxa"/>
              <w:bottom w:w="150" w:type="dxa"/>
              <w:right w:w="0" w:type="dxa"/>
            </w:tcMar>
            <w:vAlign w:val="center"/>
          </w:tcPr>
          <w:p w14:paraId="509C56E9" w14:textId="77777777" w:rsidR="0003312E" w:rsidRDefault="00000000">
            <w:pPr>
              <w:pStyle w:val="NormalWeb"/>
              <w:spacing w:beforeAutospacing="0" w:after="0" w:afterAutospacing="0" w:line="240" w:lineRule="auto"/>
              <w:rPr>
                <w:rFonts w:eastAsia="Segoe UI"/>
                <w:sz w:val="20"/>
                <w:szCs w:val="20"/>
                <w:shd w:val="clear" w:color="auto" w:fill="FFFFFF"/>
                <w:lang w:val="pt-BR"/>
              </w:rPr>
            </w:pPr>
            <w:r>
              <w:rPr>
                <w:rFonts w:eastAsia="Segoe UI"/>
                <w:sz w:val="20"/>
                <w:szCs w:val="20"/>
                <w:shd w:val="clear" w:color="auto" w:fill="FFFFFF"/>
                <w:lang w:val="pt-BR"/>
              </w:rPr>
              <w:t>Sêneca: Aproximou o conceito a "</w:t>
            </w:r>
            <w:proofErr w:type="spellStart"/>
            <w:r>
              <w:rPr>
                <w:rFonts w:eastAsia="Segoe UI"/>
                <w:sz w:val="20"/>
                <w:szCs w:val="20"/>
                <w:shd w:val="clear" w:color="auto" w:fill="FFFFFF"/>
                <w:lang w:val="pt-BR"/>
              </w:rPr>
              <w:t>tranquillitas</w:t>
            </w:r>
            <w:proofErr w:type="spellEnd"/>
            <w:r>
              <w:rPr>
                <w:rFonts w:eastAsia="Segoe UI"/>
                <w:sz w:val="20"/>
                <w:szCs w:val="20"/>
                <w:shd w:val="clear" w:color="auto" w:fill="FFFFFF"/>
                <w:lang w:val="pt-BR"/>
              </w:rPr>
              <w:t xml:space="preserve"> animi", vinculando à consciência do bem-estar como processo ativo. Plutarco: Defendeu que a verdadeira eutimia emerge do aprendizado com adversidades, não da evasão.</w:t>
            </w:r>
          </w:p>
        </w:tc>
      </w:tr>
      <w:tr w:rsidR="0003312E" w14:paraId="0E50E53D" w14:textId="77777777">
        <w:tc>
          <w:tcPr>
            <w:tcW w:w="0" w:type="auto"/>
            <w:tcMar>
              <w:top w:w="150" w:type="dxa"/>
              <w:left w:w="0" w:type="dxa"/>
              <w:bottom w:w="150" w:type="dxa"/>
              <w:right w:w="240" w:type="dxa"/>
            </w:tcMar>
            <w:vAlign w:val="center"/>
          </w:tcPr>
          <w:p w14:paraId="727604BA" w14:textId="77777777" w:rsidR="0003312E" w:rsidRDefault="00000000">
            <w:pPr>
              <w:pStyle w:val="NormalWeb"/>
              <w:spacing w:beforeAutospacing="0" w:after="0" w:afterAutospacing="0" w:line="240" w:lineRule="auto"/>
              <w:rPr>
                <w:rFonts w:eastAsia="Segoe UI"/>
                <w:b/>
                <w:bCs/>
                <w:sz w:val="20"/>
                <w:szCs w:val="20"/>
                <w:shd w:val="clear" w:color="auto" w:fill="FFFFFF"/>
                <w:lang w:val="pt-BR"/>
              </w:rPr>
            </w:pPr>
            <w:r>
              <w:rPr>
                <w:rFonts w:eastAsia="Segoe UI"/>
                <w:b/>
                <w:bCs/>
                <w:sz w:val="20"/>
                <w:szCs w:val="20"/>
                <w:shd w:val="clear" w:color="auto" w:fill="FFFFFF"/>
                <w:lang w:val="pt-BR"/>
              </w:rPr>
              <w:t>Psiquiatria Tradicional (séculos XIX-XX)</w:t>
            </w:r>
          </w:p>
        </w:tc>
        <w:tc>
          <w:tcPr>
            <w:tcW w:w="0" w:type="auto"/>
            <w:tcMar>
              <w:top w:w="150" w:type="dxa"/>
              <w:left w:w="240" w:type="dxa"/>
              <w:bottom w:w="150" w:type="dxa"/>
              <w:right w:w="240" w:type="dxa"/>
            </w:tcMar>
            <w:vAlign w:val="center"/>
          </w:tcPr>
          <w:p w14:paraId="34A039A0" w14:textId="77777777" w:rsidR="0003312E" w:rsidRDefault="00000000">
            <w:pPr>
              <w:pStyle w:val="NormalWeb"/>
              <w:spacing w:beforeAutospacing="0" w:after="0" w:afterAutospacing="0" w:line="240" w:lineRule="auto"/>
              <w:rPr>
                <w:rFonts w:eastAsia="Segoe UI"/>
                <w:sz w:val="20"/>
                <w:szCs w:val="20"/>
                <w:shd w:val="clear" w:color="auto" w:fill="FFFFFF"/>
              </w:rPr>
            </w:pPr>
            <w:r>
              <w:rPr>
                <w:rFonts w:eastAsia="Segoe UI"/>
                <w:sz w:val="20"/>
                <w:szCs w:val="20"/>
                <w:shd w:val="clear" w:color="auto" w:fill="FFFFFF"/>
              </w:rPr>
              <w:t xml:space="preserve">Uso </w:t>
            </w:r>
            <w:proofErr w:type="spellStart"/>
            <w:r>
              <w:rPr>
                <w:rFonts w:eastAsia="Segoe UI"/>
                <w:sz w:val="20"/>
                <w:szCs w:val="20"/>
                <w:shd w:val="clear" w:color="auto" w:fill="FFFFFF"/>
              </w:rPr>
              <w:t>Psiquiátrico</w:t>
            </w:r>
            <w:proofErr w:type="spellEnd"/>
            <w:r>
              <w:rPr>
                <w:rFonts w:eastAsia="Segoe UI"/>
                <w:sz w:val="20"/>
                <w:szCs w:val="20"/>
                <w:shd w:val="clear" w:color="auto" w:fill="FFFFFF"/>
              </w:rPr>
              <w:t xml:space="preserve"> </w:t>
            </w:r>
            <w:proofErr w:type="spellStart"/>
            <w:r>
              <w:rPr>
                <w:rFonts w:eastAsia="Segoe UI"/>
                <w:sz w:val="20"/>
                <w:szCs w:val="20"/>
                <w:shd w:val="clear" w:color="auto" w:fill="FFFFFF"/>
              </w:rPr>
              <w:t>Convencional</w:t>
            </w:r>
            <w:proofErr w:type="spellEnd"/>
          </w:p>
        </w:tc>
        <w:tc>
          <w:tcPr>
            <w:tcW w:w="0" w:type="auto"/>
            <w:tcMar>
              <w:top w:w="150" w:type="dxa"/>
              <w:left w:w="240" w:type="dxa"/>
              <w:bottom w:w="150" w:type="dxa"/>
              <w:right w:w="0" w:type="dxa"/>
            </w:tcMar>
            <w:vAlign w:val="center"/>
          </w:tcPr>
          <w:p w14:paraId="01CF71E4" w14:textId="77777777" w:rsidR="0003312E" w:rsidRDefault="00000000">
            <w:pPr>
              <w:pStyle w:val="NormalWeb"/>
              <w:spacing w:beforeAutospacing="0" w:after="0" w:afterAutospacing="0" w:line="240" w:lineRule="auto"/>
              <w:rPr>
                <w:rFonts w:eastAsia="Segoe UI"/>
                <w:sz w:val="20"/>
                <w:szCs w:val="20"/>
                <w:shd w:val="clear" w:color="auto" w:fill="FFFFFF"/>
                <w:lang w:val="pt-BR"/>
              </w:rPr>
            </w:pPr>
            <w:r>
              <w:rPr>
                <w:rFonts w:eastAsia="Segoe UI"/>
                <w:sz w:val="20"/>
                <w:szCs w:val="20"/>
                <w:shd w:val="clear" w:color="auto" w:fill="FFFFFF"/>
                <w:lang w:val="pt-BR"/>
              </w:rPr>
              <w:t>Redução a um conceito puramente negativo: definida apenas como ausência de sintomas de transtornos de humor, ignorando completamente componentes positivos.</w:t>
            </w:r>
          </w:p>
        </w:tc>
      </w:tr>
      <w:tr w:rsidR="0003312E" w14:paraId="655DA2EC" w14:textId="77777777">
        <w:tc>
          <w:tcPr>
            <w:tcW w:w="0" w:type="auto"/>
            <w:tcMar>
              <w:top w:w="150" w:type="dxa"/>
              <w:left w:w="0" w:type="dxa"/>
              <w:bottom w:w="150" w:type="dxa"/>
              <w:right w:w="240" w:type="dxa"/>
            </w:tcMar>
            <w:vAlign w:val="center"/>
          </w:tcPr>
          <w:p w14:paraId="50770B7C" w14:textId="77777777" w:rsidR="0003312E" w:rsidRDefault="00000000">
            <w:pPr>
              <w:pStyle w:val="NormalWeb"/>
              <w:spacing w:beforeAutospacing="0" w:after="0" w:afterAutospacing="0" w:line="240" w:lineRule="auto"/>
              <w:rPr>
                <w:rFonts w:eastAsia="Segoe UI"/>
                <w:b/>
                <w:bCs/>
                <w:sz w:val="20"/>
                <w:szCs w:val="20"/>
                <w:shd w:val="clear" w:color="auto" w:fill="FFFFFF"/>
              </w:rPr>
            </w:pPr>
            <w:proofErr w:type="spellStart"/>
            <w:r>
              <w:rPr>
                <w:rFonts w:eastAsia="Segoe UI"/>
                <w:b/>
                <w:bCs/>
                <w:sz w:val="20"/>
                <w:szCs w:val="20"/>
                <w:shd w:val="clear" w:color="auto" w:fill="FFFFFF"/>
              </w:rPr>
              <w:t>Virada</w:t>
            </w:r>
            <w:proofErr w:type="spellEnd"/>
            <w:r>
              <w:rPr>
                <w:rFonts w:eastAsia="Segoe UI"/>
                <w:b/>
                <w:bCs/>
                <w:sz w:val="20"/>
                <w:szCs w:val="20"/>
                <w:shd w:val="clear" w:color="auto" w:fill="FFFFFF"/>
              </w:rPr>
              <w:t xml:space="preserve"> </w:t>
            </w:r>
            <w:proofErr w:type="spellStart"/>
            <w:r>
              <w:rPr>
                <w:rFonts w:eastAsia="Segoe UI"/>
                <w:b/>
                <w:bCs/>
                <w:sz w:val="20"/>
                <w:szCs w:val="20"/>
                <w:shd w:val="clear" w:color="auto" w:fill="FFFFFF"/>
              </w:rPr>
              <w:t>Conceitual</w:t>
            </w:r>
            <w:proofErr w:type="spellEnd"/>
            <w:r>
              <w:rPr>
                <w:rFonts w:eastAsia="Segoe UI"/>
                <w:b/>
                <w:bCs/>
                <w:sz w:val="20"/>
                <w:szCs w:val="20"/>
                <w:shd w:val="clear" w:color="auto" w:fill="FFFFFF"/>
              </w:rPr>
              <w:t xml:space="preserve"> (</w:t>
            </w:r>
            <w:proofErr w:type="spellStart"/>
            <w:r>
              <w:rPr>
                <w:rFonts w:eastAsia="Segoe UI"/>
                <w:b/>
                <w:bCs/>
                <w:sz w:val="20"/>
                <w:szCs w:val="20"/>
                <w:shd w:val="clear" w:color="auto" w:fill="FFFFFF"/>
              </w:rPr>
              <w:t>Década</w:t>
            </w:r>
            <w:proofErr w:type="spellEnd"/>
            <w:r>
              <w:rPr>
                <w:rFonts w:eastAsia="Segoe UI"/>
                <w:b/>
                <w:bCs/>
                <w:sz w:val="20"/>
                <w:szCs w:val="20"/>
                <w:shd w:val="clear" w:color="auto" w:fill="FFFFFF"/>
              </w:rPr>
              <w:t xml:space="preserve"> de 1990)</w:t>
            </w:r>
          </w:p>
        </w:tc>
        <w:tc>
          <w:tcPr>
            <w:tcW w:w="0" w:type="auto"/>
            <w:tcMar>
              <w:top w:w="150" w:type="dxa"/>
              <w:left w:w="240" w:type="dxa"/>
              <w:bottom w:w="150" w:type="dxa"/>
              <w:right w:w="240" w:type="dxa"/>
            </w:tcMar>
            <w:vAlign w:val="center"/>
          </w:tcPr>
          <w:p w14:paraId="020078FB" w14:textId="77777777" w:rsidR="0003312E" w:rsidRDefault="00000000">
            <w:pPr>
              <w:pStyle w:val="NormalWeb"/>
              <w:spacing w:beforeAutospacing="0" w:after="0" w:afterAutospacing="0" w:line="240" w:lineRule="auto"/>
              <w:rPr>
                <w:rFonts w:eastAsia="Segoe UI"/>
                <w:sz w:val="20"/>
                <w:szCs w:val="20"/>
                <w:shd w:val="clear" w:color="auto" w:fill="FFFFFF"/>
                <w:lang w:val="pt-BR"/>
              </w:rPr>
            </w:pPr>
            <w:proofErr w:type="spellStart"/>
            <w:r>
              <w:rPr>
                <w:rFonts w:eastAsia="Segoe UI"/>
                <w:sz w:val="20"/>
                <w:szCs w:val="20"/>
                <w:shd w:val="clear" w:color="auto" w:fill="FFFFFF"/>
                <w:lang w:val="pt-BR"/>
              </w:rPr>
              <w:t>Garamoni</w:t>
            </w:r>
            <w:proofErr w:type="spellEnd"/>
            <w:r>
              <w:rPr>
                <w:rFonts w:eastAsia="Segoe UI"/>
                <w:sz w:val="20"/>
                <w:szCs w:val="20"/>
                <w:shd w:val="clear" w:color="auto" w:fill="FFFFFF"/>
                <w:lang w:val="pt-BR"/>
              </w:rPr>
              <w:t xml:space="preserve"> et al. (1991). Retomada dos conceitos de </w:t>
            </w:r>
            <w:proofErr w:type="spellStart"/>
            <w:r>
              <w:rPr>
                <w:rFonts w:eastAsia="Segoe UI"/>
                <w:sz w:val="20"/>
                <w:szCs w:val="20"/>
                <w:shd w:val="clear" w:color="auto" w:fill="FFFFFF"/>
                <w:lang w:val="pt-BR"/>
              </w:rPr>
              <w:t>Jahoda</w:t>
            </w:r>
            <w:proofErr w:type="spellEnd"/>
            <w:r>
              <w:rPr>
                <w:rFonts w:eastAsia="Segoe UI"/>
                <w:sz w:val="20"/>
                <w:szCs w:val="20"/>
                <w:shd w:val="clear" w:color="auto" w:fill="FFFFFF"/>
                <w:lang w:val="pt-BR"/>
              </w:rPr>
              <w:t xml:space="preserve"> (1958).</w:t>
            </w:r>
          </w:p>
        </w:tc>
        <w:tc>
          <w:tcPr>
            <w:tcW w:w="0" w:type="auto"/>
            <w:tcMar>
              <w:top w:w="150" w:type="dxa"/>
              <w:left w:w="240" w:type="dxa"/>
              <w:bottom w:w="150" w:type="dxa"/>
              <w:right w:w="0" w:type="dxa"/>
            </w:tcMar>
            <w:vAlign w:val="center"/>
          </w:tcPr>
          <w:p w14:paraId="672DDBFF" w14:textId="77777777" w:rsidR="0003312E" w:rsidRDefault="00000000">
            <w:pPr>
              <w:pStyle w:val="NormalWeb"/>
              <w:spacing w:beforeAutospacing="0" w:after="0" w:afterAutospacing="0" w:line="240" w:lineRule="auto"/>
              <w:rPr>
                <w:rFonts w:eastAsia="Segoe UI"/>
                <w:sz w:val="20"/>
                <w:szCs w:val="20"/>
                <w:shd w:val="clear" w:color="auto" w:fill="FFFFFF"/>
                <w:lang w:val="pt-BR"/>
              </w:rPr>
            </w:pPr>
            <w:proofErr w:type="spellStart"/>
            <w:r>
              <w:rPr>
                <w:rFonts w:eastAsia="Segoe UI"/>
                <w:sz w:val="20"/>
                <w:szCs w:val="20"/>
                <w:shd w:val="clear" w:color="auto" w:fill="FFFFFF"/>
                <w:lang w:val="pt-BR"/>
              </w:rPr>
              <w:t>Garamoni</w:t>
            </w:r>
            <w:proofErr w:type="spellEnd"/>
            <w:r>
              <w:rPr>
                <w:rFonts w:eastAsia="Segoe UI"/>
                <w:sz w:val="20"/>
                <w:szCs w:val="20"/>
                <w:shd w:val="clear" w:color="auto" w:fill="FFFFFF"/>
                <w:lang w:val="pt-BR"/>
              </w:rPr>
              <w:t xml:space="preserve">: Propôs o modelo do equilíbrio ótimo entre experiências positivas e negativas. Influência de </w:t>
            </w:r>
            <w:proofErr w:type="spellStart"/>
            <w:r>
              <w:rPr>
                <w:rFonts w:eastAsia="Segoe UI"/>
                <w:sz w:val="20"/>
                <w:szCs w:val="20"/>
                <w:shd w:val="clear" w:color="auto" w:fill="FFFFFF"/>
                <w:lang w:val="pt-BR"/>
              </w:rPr>
              <w:t>Jahoda</w:t>
            </w:r>
            <w:proofErr w:type="spellEnd"/>
            <w:r>
              <w:rPr>
                <w:rFonts w:eastAsia="Segoe UI"/>
                <w:sz w:val="20"/>
                <w:szCs w:val="20"/>
                <w:shd w:val="clear" w:color="auto" w:fill="FFFFFF"/>
                <w:lang w:val="pt-BR"/>
              </w:rPr>
              <w:t>: Recuperou os pilares da saúde mental positiva - integração (flexibilidade), consistência e resiliência.</w:t>
            </w:r>
          </w:p>
        </w:tc>
      </w:tr>
      <w:tr w:rsidR="0003312E" w14:paraId="4E987886" w14:textId="77777777">
        <w:tc>
          <w:tcPr>
            <w:tcW w:w="0" w:type="auto"/>
            <w:tcMar>
              <w:top w:w="150" w:type="dxa"/>
              <w:left w:w="0" w:type="dxa"/>
              <w:bottom w:w="150" w:type="dxa"/>
              <w:right w:w="240" w:type="dxa"/>
            </w:tcMar>
            <w:vAlign w:val="center"/>
          </w:tcPr>
          <w:p w14:paraId="54402E0C" w14:textId="77777777" w:rsidR="0003312E" w:rsidRDefault="00000000">
            <w:pPr>
              <w:pStyle w:val="NormalWeb"/>
              <w:spacing w:beforeAutospacing="0" w:after="0" w:afterAutospacing="0" w:line="240" w:lineRule="auto"/>
              <w:rPr>
                <w:rFonts w:eastAsia="Segoe UI"/>
                <w:b/>
                <w:bCs/>
                <w:sz w:val="20"/>
                <w:szCs w:val="20"/>
                <w:shd w:val="clear" w:color="auto" w:fill="FFFFFF"/>
              </w:rPr>
            </w:pPr>
            <w:proofErr w:type="spellStart"/>
            <w:r>
              <w:rPr>
                <w:rFonts w:eastAsia="Segoe UI"/>
                <w:b/>
                <w:bCs/>
                <w:sz w:val="20"/>
                <w:szCs w:val="20"/>
                <w:shd w:val="clear" w:color="auto" w:fill="FFFFFF"/>
              </w:rPr>
              <w:t>Definição</w:t>
            </w:r>
            <w:proofErr w:type="spellEnd"/>
            <w:r>
              <w:rPr>
                <w:rFonts w:eastAsia="Segoe UI"/>
                <w:b/>
                <w:bCs/>
                <w:sz w:val="20"/>
                <w:szCs w:val="20"/>
                <w:shd w:val="clear" w:color="auto" w:fill="FFFFFF"/>
              </w:rPr>
              <w:t xml:space="preserve"> </w:t>
            </w:r>
            <w:proofErr w:type="spellStart"/>
            <w:r>
              <w:rPr>
                <w:rFonts w:eastAsia="Segoe UI"/>
                <w:b/>
                <w:bCs/>
                <w:sz w:val="20"/>
                <w:szCs w:val="20"/>
                <w:shd w:val="clear" w:color="auto" w:fill="FFFFFF"/>
              </w:rPr>
              <w:t>Contemporânea</w:t>
            </w:r>
            <w:proofErr w:type="spellEnd"/>
            <w:r>
              <w:rPr>
                <w:rFonts w:eastAsia="Segoe UI"/>
                <w:b/>
                <w:bCs/>
                <w:sz w:val="20"/>
                <w:szCs w:val="20"/>
                <w:shd w:val="clear" w:color="auto" w:fill="FFFFFF"/>
              </w:rPr>
              <w:t xml:space="preserve"> (2016)</w:t>
            </w:r>
          </w:p>
        </w:tc>
        <w:tc>
          <w:tcPr>
            <w:tcW w:w="0" w:type="auto"/>
            <w:tcMar>
              <w:top w:w="150" w:type="dxa"/>
              <w:left w:w="240" w:type="dxa"/>
              <w:bottom w:w="150" w:type="dxa"/>
              <w:right w:w="240" w:type="dxa"/>
            </w:tcMar>
            <w:vAlign w:val="center"/>
          </w:tcPr>
          <w:p w14:paraId="3D3354EE" w14:textId="77777777" w:rsidR="0003312E" w:rsidRDefault="00000000">
            <w:pPr>
              <w:pStyle w:val="NormalWeb"/>
              <w:spacing w:beforeAutospacing="0" w:after="0" w:afterAutospacing="0" w:line="240" w:lineRule="auto"/>
              <w:rPr>
                <w:rFonts w:eastAsia="Segoe UI"/>
                <w:sz w:val="20"/>
                <w:szCs w:val="20"/>
                <w:shd w:val="clear" w:color="auto" w:fill="FFFFFF"/>
              </w:rPr>
            </w:pPr>
            <w:r>
              <w:rPr>
                <w:rFonts w:eastAsia="Segoe UI"/>
                <w:sz w:val="20"/>
                <w:szCs w:val="20"/>
                <w:shd w:val="clear" w:color="auto" w:fill="FFFFFF"/>
              </w:rPr>
              <w:t>Fava &amp; Bech</w:t>
            </w:r>
          </w:p>
        </w:tc>
        <w:tc>
          <w:tcPr>
            <w:tcW w:w="0" w:type="auto"/>
            <w:tcMar>
              <w:top w:w="150" w:type="dxa"/>
              <w:left w:w="240" w:type="dxa"/>
              <w:bottom w:w="150" w:type="dxa"/>
              <w:right w:w="0" w:type="dxa"/>
            </w:tcMar>
            <w:vAlign w:val="center"/>
          </w:tcPr>
          <w:p w14:paraId="754E0EBE" w14:textId="77777777" w:rsidR="0003312E" w:rsidRDefault="00000000">
            <w:pPr>
              <w:pStyle w:val="NormalWeb"/>
              <w:spacing w:beforeAutospacing="0" w:after="0" w:afterAutospacing="0" w:line="240" w:lineRule="auto"/>
              <w:rPr>
                <w:rFonts w:eastAsia="Segoe UI"/>
                <w:sz w:val="20"/>
                <w:szCs w:val="20"/>
                <w:shd w:val="clear" w:color="auto" w:fill="FFFFFF"/>
                <w:lang w:val="pt-BR"/>
              </w:rPr>
            </w:pPr>
            <w:r>
              <w:rPr>
                <w:rFonts w:eastAsia="Segoe UI"/>
                <w:sz w:val="20"/>
                <w:szCs w:val="20"/>
                <w:shd w:val="clear" w:color="auto" w:fill="FFFFFF"/>
                <w:lang w:val="pt-BR"/>
              </w:rPr>
              <w:t xml:space="preserve">Síntese moderna: conceito </w:t>
            </w:r>
            <w:proofErr w:type="spellStart"/>
            <w:r>
              <w:rPr>
                <w:rFonts w:eastAsia="Segoe UI"/>
                <w:sz w:val="20"/>
                <w:szCs w:val="20"/>
                <w:shd w:val="clear" w:color="auto" w:fill="FFFFFF"/>
                <w:lang w:val="pt-BR"/>
              </w:rPr>
              <w:t>transdiagnóstico</w:t>
            </w:r>
            <w:proofErr w:type="spellEnd"/>
            <w:r>
              <w:rPr>
                <w:rFonts w:eastAsia="Segoe UI"/>
                <w:sz w:val="20"/>
                <w:szCs w:val="20"/>
                <w:shd w:val="clear" w:color="auto" w:fill="FFFFFF"/>
                <w:lang w:val="pt-BR"/>
              </w:rPr>
              <w:t xml:space="preserve"> com três componentes - 1) Ausência de transtornos; 2) Afetos positivos; 3) Bem-estar psicológico (flexibilidade, consistência, resiliência).</w:t>
            </w:r>
          </w:p>
        </w:tc>
      </w:tr>
      <w:tr w:rsidR="0003312E" w14:paraId="4862AA3E" w14:textId="77777777">
        <w:tc>
          <w:tcPr>
            <w:tcW w:w="0" w:type="auto"/>
            <w:tcMar>
              <w:top w:w="150" w:type="dxa"/>
              <w:left w:w="0" w:type="dxa"/>
              <w:bottom w:w="150" w:type="dxa"/>
              <w:right w:w="240" w:type="dxa"/>
            </w:tcMar>
            <w:vAlign w:val="center"/>
          </w:tcPr>
          <w:p w14:paraId="4A547CED" w14:textId="77777777" w:rsidR="0003312E" w:rsidRDefault="00000000">
            <w:pPr>
              <w:pStyle w:val="NormalWeb"/>
              <w:spacing w:beforeAutospacing="0" w:after="0" w:afterAutospacing="0" w:line="240" w:lineRule="auto"/>
              <w:rPr>
                <w:rFonts w:eastAsia="Segoe UI"/>
                <w:b/>
                <w:bCs/>
                <w:sz w:val="20"/>
                <w:szCs w:val="20"/>
                <w:shd w:val="clear" w:color="auto" w:fill="FFFFFF"/>
                <w:lang w:val="pt-BR"/>
              </w:rPr>
            </w:pPr>
            <w:r>
              <w:rPr>
                <w:rFonts w:eastAsia="Segoe UI"/>
                <w:b/>
                <w:bCs/>
                <w:sz w:val="20"/>
                <w:szCs w:val="20"/>
                <w:shd w:val="clear" w:color="auto" w:fill="FFFFFF"/>
                <w:lang w:val="pt-BR"/>
              </w:rPr>
              <w:t>Século XXI (Abordagens Baseadas em Evidências)</w:t>
            </w:r>
          </w:p>
        </w:tc>
        <w:tc>
          <w:tcPr>
            <w:tcW w:w="0" w:type="auto"/>
            <w:tcMar>
              <w:top w:w="150" w:type="dxa"/>
              <w:left w:w="240" w:type="dxa"/>
              <w:bottom w:w="150" w:type="dxa"/>
              <w:right w:w="240" w:type="dxa"/>
            </w:tcMar>
            <w:vAlign w:val="center"/>
          </w:tcPr>
          <w:p w14:paraId="26497E8B" w14:textId="77777777" w:rsidR="0003312E" w:rsidRDefault="00000000">
            <w:pPr>
              <w:pStyle w:val="NormalWeb"/>
              <w:spacing w:beforeAutospacing="0" w:after="0" w:afterAutospacing="0" w:line="240" w:lineRule="auto"/>
              <w:rPr>
                <w:rFonts w:eastAsia="Segoe UI"/>
                <w:sz w:val="20"/>
                <w:szCs w:val="20"/>
                <w:shd w:val="clear" w:color="auto" w:fill="FFFFFF"/>
                <w:lang w:val="pt-BR"/>
              </w:rPr>
            </w:pPr>
            <w:r>
              <w:rPr>
                <w:rFonts w:eastAsia="Segoe UI"/>
                <w:sz w:val="20"/>
                <w:szCs w:val="20"/>
                <w:shd w:val="clear" w:color="auto" w:fill="FFFFFF"/>
                <w:lang w:val="pt-BR"/>
              </w:rPr>
              <w:t>Psicoterapias Focadas no Bem-Estar</w:t>
            </w:r>
          </w:p>
        </w:tc>
        <w:tc>
          <w:tcPr>
            <w:tcW w:w="0" w:type="auto"/>
            <w:tcMar>
              <w:top w:w="150" w:type="dxa"/>
              <w:left w:w="240" w:type="dxa"/>
              <w:bottom w:w="150" w:type="dxa"/>
              <w:right w:w="0" w:type="dxa"/>
            </w:tcMar>
            <w:vAlign w:val="center"/>
          </w:tcPr>
          <w:p w14:paraId="6C886A4B" w14:textId="77777777" w:rsidR="0003312E" w:rsidRDefault="00000000">
            <w:pPr>
              <w:pStyle w:val="NormalWeb"/>
              <w:spacing w:beforeAutospacing="0" w:after="0" w:afterAutospacing="0" w:line="240" w:lineRule="auto"/>
              <w:rPr>
                <w:rFonts w:eastAsia="Segoe UI"/>
                <w:sz w:val="20"/>
                <w:szCs w:val="20"/>
                <w:shd w:val="clear" w:color="auto" w:fill="FFFFFF"/>
                <w:lang w:val="pt-BR"/>
              </w:rPr>
            </w:pPr>
            <w:r>
              <w:rPr>
                <w:rFonts w:eastAsia="Segoe UI"/>
                <w:sz w:val="20"/>
                <w:szCs w:val="20"/>
                <w:shd w:val="clear" w:color="auto" w:fill="FFFFFF"/>
                <w:lang w:val="pt-BR"/>
              </w:rPr>
              <w:t>Operacionalização clínica: intervenções específicas para promover equilíbrio psicológico, prevenir recaídas e aumentar a recuperação sustentada em transtornos mentais.</w:t>
            </w:r>
          </w:p>
        </w:tc>
      </w:tr>
    </w:tbl>
    <w:p w14:paraId="0C29F50D"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b/>
          <w:bCs/>
          <w:sz w:val="24"/>
          <w:shd w:val="clear" w:color="auto" w:fill="FFFFFF"/>
          <w:lang w:val="pt-BR"/>
        </w:rPr>
        <w:t xml:space="preserve">Nota: </w:t>
      </w:r>
      <w:r>
        <w:rPr>
          <w:rFonts w:eastAsia="Segoe UI"/>
          <w:sz w:val="24"/>
          <w:shd w:val="clear" w:color="auto" w:fill="FFFFFF"/>
          <w:lang w:val="pt-BR"/>
        </w:rPr>
        <w:t xml:space="preserve">Síntese da Evolução Conceitual da Eutimia: Antiguidade (Conceito filosófico) → Psiquiatria Clássica (Reducionismo sintomático) → Virada Moderna (Retomada multidimensional) → Atualidade (Construto </w:t>
      </w:r>
      <w:proofErr w:type="spellStart"/>
      <w:r>
        <w:rPr>
          <w:rFonts w:eastAsia="Segoe UI"/>
          <w:sz w:val="24"/>
          <w:shd w:val="clear" w:color="auto" w:fill="FFFFFF"/>
          <w:lang w:val="pt-BR"/>
        </w:rPr>
        <w:t>transdiagnóstico</w:t>
      </w:r>
      <w:proofErr w:type="spellEnd"/>
      <w:r>
        <w:rPr>
          <w:rFonts w:eastAsia="Segoe UI"/>
          <w:sz w:val="24"/>
          <w:shd w:val="clear" w:color="auto" w:fill="FFFFFF"/>
          <w:lang w:val="pt-BR"/>
        </w:rPr>
        <w:t xml:space="preserve"> intervencionista)</w:t>
      </w:r>
    </w:p>
    <w:p w14:paraId="40AAB61C" w14:textId="77777777" w:rsidR="0003312E" w:rsidRDefault="0003312E">
      <w:pPr>
        <w:pStyle w:val="NormalWeb"/>
        <w:spacing w:beforeAutospacing="0" w:after="0" w:afterAutospacing="0" w:line="360" w:lineRule="auto"/>
        <w:ind w:firstLine="709"/>
        <w:jc w:val="both"/>
        <w:rPr>
          <w:rFonts w:eastAsia="Segoe UI"/>
          <w:sz w:val="24"/>
          <w:shd w:val="clear" w:color="auto" w:fill="FFFFFF"/>
          <w:lang w:val="pt-BR"/>
        </w:rPr>
      </w:pPr>
    </w:p>
    <w:p w14:paraId="70192776"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 xml:space="preserve">O Quadro demonstra claramente a transição de um ideal filosófico para um construto clínico mensurável, </w:t>
      </w:r>
      <w:proofErr w:type="gramStart"/>
      <w:r>
        <w:rPr>
          <w:rFonts w:eastAsia="Segoe UI"/>
          <w:sz w:val="24"/>
          <w:shd w:val="clear" w:color="auto" w:fill="FFFFFF"/>
          <w:lang w:val="pt-BR"/>
        </w:rPr>
        <w:t>mantendo porém</w:t>
      </w:r>
      <w:proofErr w:type="gramEnd"/>
      <w:r>
        <w:rPr>
          <w:rFonts w:eastAsia="Segoe UI"/>
          <w:sz w:val="24"/>
          <w:shd w:val="clear" w:color="auto" w:fill="FFFFFF"/>
          <w:lang w:val="pt-BR"/>
        </w:rPr>
        <w:t xml:space="preserve"> sua essência original de equilíbrio e contentamento, agora com aplicabilidade terapêutica concreta.</w:t>
      </w:r>
    </w:p>
    <w:p w14:paraId="100BCB29" w14:textId="77777777" w:rsidR="0003312E" w:rsidRDefault="0003312E">
      <w:pPr>
        <w:pStyle w:val="NormalWeb"/>
        <w:spacing w:beforeAutospacing="0" w:after="0" w:afterAutospacing="0" w:line="360" w:lineRule="auto"/>
        <w:ind w:firstLine="709"/>
        <w:jc w:val="both"/>
        <w:rPr>
          <w:rFonts w:eastAsia="Segoe UI"/>
          <w:b/>
          <w:bCs/>
          <w:sz w:val="24"/>
          <w:shd w:val="clear" w:color="auto" w:fill="FFFFFF"/>
          <w:lang w:val="pt-BR"/>
        </w:rPr>
      </w:pPr>
    </w:p>
    <w:p w14:paraId="2F7DAFF3"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b/>
          <w:bCs/>
          <w:sz w:val="24"/>
          <w:shd w:val="clear" w:color="auto" w:fill="FFFFFF"/>
          <w:lang w:val="pt-BR"/>
        </w:rPr>
        <w:t>3. Os Fundamentos do Equilíbrio: A Dimensão Neurocientífica</w:t>
      </w:r>
      <w:r>
        <w:rPr>
          <w:rFonts w:eastAsia="Segoe UI"/>
          <w:sz w:val="24"/>
          <w:shd w:val="clear" w:color="auto" w:fill="FFFFFF"/>
          <w:lang w:val="pt-BR"/>
        </w:rPr>
        <w:br/>
        <w:t xml:space="preserve">A neurociência nos revela que a eutimia é muito mais que um conceito filosófico - ela encontra </w:t>
      </w:r>
      <w:r>
        <w:rPr>
          <w:rFonts w:eastAsia="Segoe UI"/>
          <w:sz w:val="24"/>
          <w:shd w:val="clear" w:color="auto" w:fill="FFFFFF"/>
          <w:lang w:val="pt-BR"/>
        </w:rPr>
        <w:lastRenderedPageBreak/>
        <w:t>bases concretas na arquitetura de nosso cérebro. Esse estado de equilíbrio emocional surge de uma delicada dança entre diferentes regiões cerebrais. De um lado, o sistema límbico - incluindo a amígdala e o hipocampo - que é responsável pela geração de nossas emoções. Do outro, o córtex pré-frontal atua como um regulador sofisticado, atribuindo significado e exercendo controle sobre essas emoções. Quando essa comunicação funciona harmonicamente, temos a base neural para a estabilidade afetiva.</w:t>
      </w:r>
    </w:p>
    <w:p w14:paraId="03D3BEC5"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Esta sintonia cerebral é sustentada por um equilíbrio químico preciso, onde neurotransmissores como a serotonina e a dopamina desempenham um papel fundamental na modulação do humor. Porém, o que a ciência moderna nos mostra é que a eutimia vai além da simples ausência de desequilíbrios. Ela representa a presença ativa de qualidades mentais positivas, como a resiliência neural e a flexibilidade adaptativa - capacidades que se refletem na plasticidade sináptica, ou seja, na capacidade do cérebro de se reorganizar e adaptar frente aos desafios.</w:t>
      </w:r>
    </w:p>
    <w:p w14:paraId="6D4A3599"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O que torna essa descoberta especialmente significativa é como ela valida, através da linguagem da ciência, uma intuição milenar da filosofia. A antiga noção grega de um "</w:t>
      </w:r>
      <w:proofErr w:type="spellStart"/>
      <w:r>
        <w:rPr>
          <w:rFonts w:eastAsia="Segoe UI"/>
          <w:sz w:val="24"/>
          <w:shd w:val="clear" w:color="auto" w:fill="FFFFFF"/>
          <w:lang w:val="pt-BR"/>
        </w:rPr>
        <w:t>thymos</w:t>
      </w:r>
      <w:proofErr w:type="spellEnd"/>
      <w:r>
        <w:rPr>
          <w:rFonts w:eastAsia="Segoe UI"/>
          <w:sz w:val="24"/>
          <w:shd w:val="clear" w:color="auto" w:fill="FFFFFF"/>
          <w:lang w:val="pt-BR"/>
        </w:rPr>
        <w:t xml:space="preserve"> bem-regulado" - essa ideia de uma alma equilibrada - encontra agora seu respaldo empírico na dança harmoniosa entre nossas estruturas cerebrais emocionais e reguladoras. A neurociência contemporânea, portanto, não contradiz a sabedoria antiga, mas sim lhe oferece uma fundamentação biológica, mostrando que o equilíbrio entre razão e emoção é tanto uma aspiração filosófica quanto uma realidade neuroquímica.</w:t>
      </w:r>
    </w:p>
    <w:p w14:paraId="52F72AF6" w14:textId="77777777" w:rsidR="0003312E" w:rsidRDefault="0003312E">
      <w:pPr>
        <w:pStyle w:val="NormalWeb"/>
        <w:spacing w:beforeAutospacing="0" w:after="0" w:afterAutospacing="0" w:line="360" w:lineRule="auto"/>
        <w:ind w:firstLine="709"/>
        <w:jc w:val="both"/>
        <w:rPr>
          <w:rFonts w:eastAsia="Segoe UI"/>
          <w:sz w:val="24"/>
          <w:shd w:val="clear" w:color="auto" w:fill="FFFFFF"/>
          <w:lang w:val="pt-BR"/>
        </w:rPr>
      </w:pPr>
    </w:p>
    <w:p w14:paraId="6F380D49" w14:textId="77777777" w:rsidR="0003312E" w:rsidRDefault="00000000">
      <w:pPr>
        <w:pStyle w:val="NormalWeb"/>
        <w:spacing w:beforeAutospacing="0" w:after="0" w:afterAutospacing="0" w:line="360" w:lineRule="auto"/>
        <w:ind w:firstLine="709"/>
        <w:jc w:val="both"/>
        <w:rPr>
          <w:rFonts w:eastAsia="Segoe UI"/>
          <w:b/>
          <w:bCs/>
          <w:sz w:val="24"/>
          <w:shd w:val="clear" w:color="auto" w:fill="FFFFFF"/>
          <w:lang w:val="pt-BR"/>
        </w:rPr>
      </w:pPr>
      <w:r>
        <w:rPr>
          <w:rFonts w:eastAsia="Segoe UI"/>
          <w:b/>
          <w:bCs/>
          <w:sz w:val="24"/>
          <w:shd w:val="clear" w:color="auto" w:fill="FFFFFF"/>
          <w:lang w:val="pt-BR"/>
        </w:rPr>
        <w:t>4. A Arte da Serenidade: A Dimensão Filosófica e um Caso de Estudo</w:t>
      </w:r>
    </w:p>
    <w:p w14:paraId="54629544"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 xml:space="preserve">Mergulhar nas origens filosóficas do conceito com Demócrito, o "filósofo risonho", ilustra como a intuição antiga antecipou descobertas da psicologia moderna. Sua ética era centrada na conquista da </w:t>
      </w:r>
      <w:proofErr w:type="spellStart"/>
      <w:r>
        <w:rPr>
          <w:rFonts w:eastAsia="Segoe UI"/>
          <w:sz w:val="24"/>
          <w:shd w:val="clear" w:color="auto" w:fill="FFFFFF"/>
          <w:lang w:val="pt-BR"/>
        </w:rPr>
        <w:t>euthymia</w:t>
      </w:r>
      <w:proofErr w:type="spellEnd"/>
      <w:r>
        <w:rPr>
          <w:rFonts w:eastAsia="Segoe UI"/>
          <w:sz w:val="24"/>
          <w:shd w:val="clear" w:color="auto" w:fill="FFFFFF"/>
          <w:lang w:val="pt-BR"/>
        </w:rPr>
        <w:t xml:space="preserve"> como </w:t>
      </w:r>
      <w:proofErr w:type="spellStart"/>
      <w:r>
        <w:rPr>
          <w:rFonts w:eastAsia="Segoe UI"/>
          <w:sz w:val="24"/>
          <w:shd w:val="clear" w:color="auto" w:fill="FFFFFF"/>
          <w:lang w:val="pt-BR"/>
        </w:rPr>
        <w:t>telos</w:t>
      </w:r>
      <w:proofErr w:type="spellEnd"/>
      <w:r>
        <w:rPr>
          <w:rFonts w:eastAsia="Segoe UI"/>
          <w:sz w:val="24"/>
          <w:shd w:val="clear" w:color="auto" w:fill="FFFFFF"/>
          <w:lang w:val="pt-BR"/>
        </w:rPr>
        <w:t>, ou fim último. Para alcançá-la, ele pregava a autarquia (autossuficiência) - buscar a satisfação dentro de si mesmo; a moderação (</w:t>
      </w:r>
      <w:proofErr w:type="spellStart"/>
      <w:r>
        <w:rPr>
          <w:rFonts w:eastAsia="Segoe UI"/>
          <w:sz w:val="24"/>
          <w:shd w:val="clear" w:color="auto" w:fill="FFFFFF"/>
          <w:lang w:val="pt-BR"/>
        </w:rPr>
        <w:t>metron</w:t>
      </w:r>
      <w:proofErr w:type="spellEnd"/>
      <w:r>
        <w:rPr>
          <w:rFonts w:eastAsia="Segoe UI"/>
          <w:sz w:val="24"/>
          <w:shd w:val="clear" w:color="auto" w:fill="FFFFFF"/>
          <w:lang w:val="pt-BR"/>
        </w:rPr>
        <w:t>) - cultivar o equilíbrio em todos os aspectos da vida, evitando tanto o excesso quanto a carência; e a libertação dos medos - superar, através do conhecimento e do discernimento (</w:t>
      </w:r>
      <w:proofErr w:type="spellStart"/>
      <w:r>
        <w:rPr>
          <w:rFonts w:eastAsia="Segoe UI"/>
          <w:sz w:val="24"/>
          <w:shd w:val="clear" w:color="auto" w:fill="FFFFFF"/>
          <w:lang w:val="pt-BR"/>
        </w:rPr>
        <w:t>phronesis</w:t>
      </w:r>
      <w:proofErr w:type="spellEnd"/>
      <w:r>
        <w:rPr>
          <w:rFonts w:eastAsia="Segoe UI"/>
          <w:sz w:val="24"/>
          <w:shd w:val="clear" w:color="auto" w:fill="FFFFFF"/>
          <w:lang w:val="pt-BR"/>
        </w:rPr>
        <w:t>), os temores que paralisam, como o medo dos deuses ou da morte.</w:t>
      </w:r>
      <w:r>
        <w:rPr>
          <w:rFonts w:eastAsia="Segoe UI"/>
          <w:sz w:val="24"/>
          <w:shd w:val="clear" w:color="auto" w:fill="FFFFFF"/>
          <w:lang w:val="pt-BR"/>
        </w:rPr>
        <w:br/>
        <w:t xml:space="preserve">Esta visão não era um mero exercício de abstinência, mas uma arte de viver positiva. Sua eutimia era um estado de paz ativa e claridade mental conquistada, que ecoa diretamente nos conceitos modernos de autonomia (de </w:t>
      </w:r>
      <w:proofErr w:type="spellStart"/>
      <w:r>
        <w:rPr>
          <w:rFonts w:eastAsia="Segoe UI"/>
          <w:sz w:val="24"/>
          <w:shd w:val="clear" w:color="auto" w:fill="FFFFFF"/>
          <w:lang w:val="pt-BR"/>
        </w:rPr>
        <w:t>Jahoda</w:t>
      </w:r>
      <w:proofErr w:type="spellEnd"/>
      <w:r>
        <w:rPr>
          <w:rFonts w:eastAsia="Segoe UI"/>
          <w:sz w:val="24"/>
          <w:shd w:val="clear" w:color="auto" w:fill="FFFFFF"/>
          <w:lang w:val="pt-BR"/>
        </w:rPr>
        <w:t xml:space="preserve">), flexibilidade psicológica (de Fava &amp; Bech) e regulação emocional. Esta visão </w:t>
      </w:r>
      <w:proofErr w:type="spellStart"/>
      <w:r>
        <w:rPr>
          <w:rFonts w:eastAsia="Segoe UI"/>
          <w:sz w:val="24"/>
          <w:shd w:val="clear" w:color="auto" w:fill="FFFFFF"/>
          <w:lang w:val="pt-BR"/>
        </w:rPr>
        <w:t>democriteana</w:t>
      </w:r>
      <w:proofErr w:type="spellEnd"/>
      <w:r>
        <w:rPr>
          <w:rFonts w:eastAsia="Segoe UI"/>
          <w:sz w:val="24"/>
          <w:shd w:val="clear" w:color="auto" w:fill="FFFFFF"/>
          <w:lang w:val="pt-BR"/>
        </w:rPr>
        <w:t xml:space="preserve"> antecipa em séculos a compreensão contemporânea de que o bem-estar envolve não a supressão emocional, mas a regulação </w:t>
      </w:r>
      <w:r>
        <w:rPr>
          <w:rFonts w:eastAsia="Segoe UI"/>
          <w:sz w:val="24"/>
          <w:shd w:val="clear" w:color="auto" w:fill="FFFFFF"/>
          <w:lang w:val="pt-BR"/>
        </w:rPr>
        <w:lastRenderedPageBreak/>
        <w:t>adaptativa. Demócrito já entendia, intuitivamente, que o caminho para o bem-estar não era a eliminação das emoções, mas o seu governo sábio - uma ideia que a neurociência contemporânea só agora começa a mapear com precisão, validando a profundidade de seu insight. Mais do que conceito clínico, a eutimia é metáfora existencial. Para Demócrito, traduzia a serenidade diante da incerteza; para Sêneca, um convite à tranquilidade moral; na tradição literária, inspira imagens de harmonia entre desejo e limite. Em termos arquetípicos, exprime a busca pela "justa medida", o equilíbrio entre excesso e carência que atravessa toda a filosofia ocidental. Assim, a palavra não apenas nomeia um estado mental, mas evoca um ideal estético e ético de vida vivida com dignidade, autocontrole e leveza.</w:t>
      </w:r>
    </w:p>
    <w:p w14:paraId="65053355" w14:textId="77777777" w:rsidR="0003312E" w:rsidRDefault="0003312E">
      <w:pPr>
        <w:pStyle w:val="NormalWeb"/>
        <w:spacing w:beforeAutospacing="0" w:after="0" w:afterAutospacing="0" w:line="360" w:lineRule="auto"/>
        <w:ind w:firstLine="709"/>
        <w:jc w:val="both"/>
        <w:rPr>
          <w:rFonts w:eastAsia="Segoe UI"/>
          <w:b/>
          <w:bCs/>
          <w:sz w:val="24"/>
          <w:shd w:val="clear" w:color="auto" w:fill="FFFFFF"/>
          <w:lang w:val="pt-BR"/>
        </w:rPr>
      </w:pPr>
    </w:p>
    <w:p w14:paraId="138F37B9" w14:textId="77777777" w:rsidR="0003312E" w:rsidRDefault="00000000">
      <w:pPr>
        <w:pStyle w:val="NormalWeb"/>
        <w:spacing w:beforeAutospacing="0" w:after="0" w:afterAutospacing="0" w:line="360" w:lineRule="auto"/>
        <w:ind w:firstLine="709"/>
        <w:jc w:val="both"/>
        <w:rPr>
          <w:rFonts w:eastAsia="Segoe UI"/>
          <w:b/>
          <w:bCs/>
          <w:sz w:val="24"/>
          <w:shd w:val="clear" w:color="auto" w:fill="FFFFFF"/>
          <w:lang w:val="pt-BR"/>
        </w:rPr>
      </w:pPr>
      <w:r>
        <w:rPr>
          <w:rFonts w:eastAsia="Segoe UI"/>
          <w:b/>
          <w:bCs/>
          <w:sz w:val="24"/>
          <w:shd w:val="clear" w:color="auto" w:fill="FFFFFF"/>
          <w:lang w:val="pt-BR"/>
        </w:rPr>
        <w:t>Conclusão: A Síntese Moderna de um Ideal Antigo</w:t>
      </w:r>
    </w:p>
    <w:p w14:paraId="785960A3" w14:textId="77777777" w:rsidR="0003312E" w:rsidRDefault="00000000">
      <w:pPr>
        <w:pStyle w:val="NormalWeb"/>
        <w:spacing w:beforeAutospacing="0" w:after="0" w:afterAutospacing="0" w:line="360" w:lineRule="auto"/>
        <w:ind w:firstLine="709"/>
        <w:jc w:val="both"/>
        <w:rPr>
          <w:rFonts w:eastAsia="Segoe UI"/>
          <w:sz w:val="24"/>
          <w:shd w:val="clear" w:color="auto" w:fill="FFFFFF"/>
          <w:lang w:val="pt-BR"/>
        </w:rPr>
      </w:pPr>
      <w:r>
        <w:rPr>
          <w:rFonts w:eastAsia="Segoe UI"/>
          <w:sz w:val="24"/>
          <w:shd w:val="clear" w:color="auto" w:fill="FFFFFF"/>
          <w:lang w:val="pt-BR"/>
        </w:rPr>
        <w:t xml:space="preserve">A jornada pelos estados da mente, da hipnose à ansiedade, encontra sua culminância natural na eutimia. Ela representa o ponto de chegada: não a mera ausência de desordem, mas a presença positiva de um funcionamento integrado - a realização plena do potencial do </w:t>
      </w:r>
      <w:proofErr w:type="spellStart"/>
      <w:r>
        <w:rPr>
          <w:rFonts w:eastAsia="Segoe UI"/>
          <w:sz w:val="24"/>
          <w:shd w:val="clear" w:color="auto" w:fill="FFFFFF"/>
          <w:lang w:val="pt-BR"/>
        </w:rPr>
        <w:t>thymos</w:t>
      </w:r>
      <w:proofErr w:type="spellEnd"/>
      <w:r>
        <w:rPr>
          <w:rFonts w:eastAsia="Segoe UI"/>
          <w:sz w:val="24"/>
          <w:shd w:val="clear" w:color="auto" w:fill="FFFFFF"/>
          <w:lang w:val="pt-BR"/>
        </w:rPr>
        <w:t xml:space="preserve">. Este capítulo mostrou como uma palavra grega antiga carregava, em sua própria etimologia, um mapa para a saúde mental que a ciência contemporânea está apenas redescobrindo e validando. Introduzimos o "Cérebro Etimológico" como conceito unificador, ligando a linguagem (a palavra </w:t>
      </w:r>
      <w:proofErr w:type="spellStart"/>
      <w:r>
        <w:rPr>
          <w:rFonts w:eastAsia="Segoe UI"/>
          <w:sz w:val="24"/>
          <w:shd w:val="clear" w:color="auto" w:fill="FFFFFF"/>
          <w:lang w:val="pt-BR"/>
        </w:rPr>
        <w:t>euthymia</w:t>
      </w:r>
      <w:proofErr w:type="spellEnd"/>
      <w:r>
        <w:rPr>
          <w:rFonts w:eastAsia="Segoe UI"/>
          <w:sz w:val="24"/>
          <w:shd w:val="clear" w:color="auto" w:fill="FFFFFF"/>
          <w:lang w:val="pt-BR"/>
        </w:rPr>
        <w:t xml:space="preserve">), a história das ideias (de Demócrito a </w:t>
      </w:r>
      <w:proofErr w:type="spellStart"/>
      <w:r>
        <w:rPr>
          <w:rFonts w:eastAsia="Segoe UI"/>
          <w:sz w:val="24"/>
          <w:shd w:val="clear" w:color="auto" w:fill="FFFFFF"/>
          <w:lang w:val="pt-BR"/>
        </w:rPr>
        <w:t>Jahoda</w:t>
      </w:r>
      <w:proofErr w:type="spellEnd"/>
      <w:r>
        <w:rPr>
          <w:rFonts w:eastAsia="Segoe UI"/>
          <w:sz w:val="24"/>
          <w:shd w:val="clear" w:color="auto" w:fill="FFFFFF"/>
          <w:lang w:val="pt-BR"/>
        </w:rPr>
        <w:t xml:space="preserve"> e Fava) e a prática clínica (as intervenções que visam cultivá-la). A eutimia clínica contemporânea, portanto, representa uma síntese entre a sabedoria filosófica antiga e o rigor científico moderno, e nos lembra que o objetivo final não é apenas curar a mente doente, mas nutrir e fazer florescer a mente sã, numa releitura moderna e científica do mais antigo e sábio ideal filosófico.</w:t>
      </w:r>
    </w:p>
    <w:p w14:paraId="17DD4268" w14:textId="77777777" w:rsidR="0003312E" w:rsidRDefault="0003312E">
      <w:pPr>
        <w:pStyle w:val="NormalWeb"/>
        <w:spacing w:beforeAutospacing="0" w:after="0" w:afterAutospacing="0" w:line="360" w:lineRule="auto"/>
        <w:ind w:firstLine="709"/>
        <w:jc w:val="both"/>
        <w:rPr>
          <w:rFonts w:eastAsia="Segoe UI"/>
          <w:sz w:val="24"/>
          <w:shd w:val="clear" w:color="auto" w:fill="FFFFFF"/>
          <w:lang w:val="pt-BR"/>
        </w:rPr>
      </w:pPr>
    </w:p>
    <w:p w14:paraId="1E49468E" w14:textId="77777777" w:rsidR="0003312E" w:rsidRPr="000D7094" w:rsidRDefault="0003312E">
      <w:pPr>
        <w:pStyle w:val="PargrafodaLista"/>
        <w:spacing w:after="0" w:line="360" w:lineRule="auto"/>
        <w:ind w:left="0" w:firstLine="709"/>
        <w:jc w:val="both"/>
        <w:rPr>
          <w:rFonts w:ascii="Times New Roman" w:eastAsiaTheme="majorEastAsia" w:hAnsi="Times New Roman" w:cs="Times New Roman"/>
          <w:i/>
          <w:iCs/>
          <w:sz w:val="24"/>
          <w:szCs w:val="24"/>
        </w:rPr>
      </w:pPr>
    </w:p>
    <w:p w14:paraId="7C2486F4" w14:textId="77777777" w:rsidR="0003312E" w:rsidRPr="000D7094" w:rsidRDefault="00000000">
      <w:pPr>
        <w:spacing w:after="0" w:line="360" w:lineRule="auto"/>
        <w:ind w:firstLine="709"/>
        <w:jc w:val="both"/>
        <w:rPr>
          <w:rFonts w:ascii="Times New Roman" w:eastAsia="Segoe UI" w:hAnsi="Times New Roman" w:cs="Times New Roman"/>
          <w:sz w:val="24"/>
          <w:szCs w:val="24"/>
          <w:lang w:eastAsia="zh-CN"/>
        </w:rPr>
      </w:pPr>
      <w:r w:rsidRPr="000D7094">
        <w:rPr>
          <w:rFonts w:ascii="Times New Roman" w:eastAsia="Segoe UI" w:hAnsi="Times New Roman" w:cs="Times New Roman"/>
          <w:sz w:val="24"/>
          <w:szCs w:val="24"/>
        </w:rPr>
        <w:br w:type="page"/>
      </w:r>
    </w:p>
    <w:tbl>
      <w:tblPr>
        <w:tblStyle w:val="Tabelacomgrade"/>
        <w:tblW w:w="850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8" w:type="dxa"/>
          <w:right w:w="108" w:type="dxa"/>
        </w:tblCellMar>
        <w:tblLook w:val="04A0" w:firstRow="1" w:lastRow="0" w:firstColumn="1" w:lastColumn="0" w:noHBand="0" w:noVBand="1"/>
      </w:tblPr>
      <w:tblGrid>
        <w:gridCol w:w="4353"/>
        <w:gridCol w:w="4152"/>
      </w:tblGrid>
      <w:tr w:rsidR="0003312E" w14:paraId="42AAE4E3" w14:textId="77777777">
        <w:trPr>
          <w:trHeight w:val="470"/>
        </w:trPr>
        <w:tc>
          <w:tcPr>
            <w:tcW w:w="8505" w:type="dxa"/>
            <w:gridSpan w:val="2"/>
            <w:tcBorders>
              <w:top w:val="nil"/>
              <w:left w:val="nil"/>
              <w:bottom w:val="nil"/>
              <w:right w:val="nil"/>
            </w:tcBorders>
          </w:tcPr>
          <w:p w14:paraId="205A48E3" w14:textId="77777777" w:rsidR="0003312E" w:rsidRDefault="00000000">
            <w:pPr>
              <w:pBdr>
                <w:left w:val="single" w:sz="80" w:space="4" w:color="7F7F7F" w:themeColor="text1" w:themeTint="80"/>
                <w:bottom w:val="single" w:sz="8" w:space="4" w:color="7F7F7F" w:themeColor="text1" w:themeTint="80"/>
              </w:pBdr>
              <w:spacing w:after="0" w:line="240" w:lineRule="auto"/>
              <w:jc w:val="both"/>
              <w:rPr>
                <w:rFonts w:ascii="Times New Roman" w:eastAsia="SimSun" w:hAnsi="Times New Roman" w:cs="Times New Roman"/>
                <w:b/>
                <w:bCs/>
                <w:sz w:val="20"/>
                <w:szCs w:val="20"/>
              </w:rPr>
            </w:pPr>
            <w:r>
              <w:rPr>
                <w:rFonts w:ascii="Times New Roman" w:eastAsiaTheme="majorEastAsia" w:hAnsi="Times New Roman" w:cs="Times New Roman"/>
                <w:b/>
                <w:bCs/>
              </w:rPr>
              <w:lastRenderedPageBreak/>
              <w:t>Epílogo: O Cérebro Etimológico: Palavras como Fósseis Vivos</w:t>
            </w:r>
          </w:p>
        </w:tc>
      </w:tr>
      <w:tr w:rsidR="0003312E" w14:paraId="0D499AE2" w14:textId="77777777">
        <w:trPr>
          <w:trHeight w:val="675"/>
        </w:trPr>
        <w:tc>
          <w:tcPr>
            <w:tcW w:w="8505" w:type="dxa"/>
            <w:gridSpan w:val="2"/>
            <w:tcBorders>
              <w:top w:val="nil"/>
              <w:left w:val="nil"/>
              <w:bottom w:val="nil"/>
              <w:right w:val="nil"/>
            </w:tcBorders>
          </w:tcPr>
          <w:p w14:paraId="311BA9B0" w14:textId="77777777" w:rsidR="0003312E" w:rsidRDefault="00000000">
            <w:pPr>
              <w:pStyle w:val="NormalWeb"/>
              <w:shd w:val="clear" w:color="auto" w:fill="FFFFFF"/>
              <w:spacing w:beforeAutospacing="0" w:after="0" w:afterAutospacing="0" w:line="240" w:lineRule="auto"/>
              <w:jc w:val="both"/>
              <w:rPr>
                <w:sz w:val="20"/>
                <w:szCs w:val="20"/>
                <w:lang w:val="pt-BR"/>
              </w:rPr>
            </w:pPr>
            <w:r>
              <w:rPr>
                <w:rStyle w:val="Forte"/>
                <w:rFonts w:eastAsia="Segoe UI"/>
                <w:b w:val="0"/>
                <w:bCs w:val="0"/>
                <w:i/>
                <w:iCs/>
                <w:sz w:val="20"/>
                <w:szCs w:val="20"/>
                <w:shd w:val="clear" w:color="auto" w:fill="FFFFFF"/>
                <w:lang w:val="pt-BR"/>
              </w:rPr>
              <w:t>“A história das ideias não é a história das palavras, mas se reflete, muitas vezes, na história das palavras.”</w:t>
            </w:r>
            <w:r>
              <w:rPr>
                <w:rStyle w:val="Forte"/>
                <w:rFonts w:eastAsia="Segoe UI"/>
                <w:sz w:val="20"/>
                <w:szCs w:val="20"/>
                <w:shd w:val="clear" w:color="auto" w:fill="FFFFFF"/>
                <w:lang w:val="pt-BR"/>
              </w:rPr>
              <w:t xml:space="preserve"> </w:t>
            </w:r>
            <w:proofErr w:type="spellStart"/>
            <w:r>
              <w:rPr>
                <w:rFonts w:eastAsia="Segoe UI"/>
                <w:sz w:val="20"/>
                <w:szCs w:val="20"/>
                <w:shd w:val="clear" w:color="auto" w:fill="FFFFFF"/>
                <w:lang w:val="pt-BR"/>
              </w:rPr>
              <w:t>Owsei</w:t>
            </w:r>
            <w:proofErr w:type="spellEnd"/>
            <w:r>
              <w:rPr>
                <w:rFonts w:eastAsia="Segoe UI"/>
                <w:sz w:val="20"/>
                <w:szCs w:val="20"/>
                <w:shd w:val="clear" w:color="auto" w:fill="FFFFFF"/>
                <w:lang w:val="pt-BR"/>
              </w:rPr>
              <w:t xml:space="preserve"> </w:t>
            </w:r>
            <w:proofErr w:type="spellStart"/>
            <w:r>
              <w:rPr>
                <w:rFonts w:eastAsia="Segoe UI"/>
                <w:sz w:val="20"/>
                <w:szCs w:val="20"/>
                <w:shd w:val="clear" w:color="auto" w:fill="FFFFFF"/>
                <w:lang w:val="pt-BR"/>
              </w:rPr>
              <w:t>Temkin</w:t>
            </w:r>
            <w:proofErr w:type="spellEnd"/>
            <w:r>
              <w:rPr>
                <w:rFonts w:eastAsia="Segoe UI"/>
                <w:sz w:val="20"/>
                <w:szCs w:val="20"/>
                <w:shd w:val="clear" w:color="auto" w:fill="FFFFFF"/>
                <w:lang w:val="pt-BR"/>
              </w:rPr>
              <w:t xml:space="preserve">, </w:t>
            </w:r>
            <w:r>
              <w:rPr>
                <w:rStyle w:val="nfase"/>
                <w:rFonts w:eastAsia="Segoe UI"/>
                <w:i w:val="0"/>
                <w:iCs w:val="0"/>
                <w:sz w:val="20"/>
                <w:szCs w:val="20"/>
                <w:shd w:val="clear" w:color="auto" w:fill="FFFFFF"/>
                <w:lang w:val="pt-BR"/>
              </w:rPr>
              <w:t>A Face Dupla de Jano e Outros Ensaios na História da Medicina</w:t>
            </w:r>
            <w:r>
              <w:rPr>
                <w:rFonts w:eastAsia="Segoe UI"/>
                <w:sz w:val="20"/>
                <w:szCs w:val="20"/>
                <w:shd w:val="clear" w:color="auto" w:fill="FFFFFF"/>
                <w:lang w:val="pt-BR"/>
              </w:rPr>
              <w:t> </w:t>
            </w:r>
          </w:p>
        </w:tc>
      </w:tr>
      <w:tr w:rsidR="0003312E" w14:paraId="232D82F2" w14:textId="77777777">
        <w:tc>
          <w:tcPr>
            <w:tcW w:w="4353" w:type="dxa"/>
            <w:tcBorders>
              <w:top w:val="nil"/>
              <w:left w:val="nil"/>
              <w:bottom w:val="nil"/>
              <w:right w:val="nil"/>
            </w:tcBorders>
          </w:tcPr>
          <w:p w14:paraId="5BC790B0" w14:textId="77777777" w:rsidR="0003312E" w:rsidRDefault="00000000">
            <w:pPr>
              <w:spacing w:after="0" w:line="240" w:lineRule="auto"/>
              <w:jc w:val="center"/>
              <w:rPr>
                <w:rFonts w:ascii="Times New Roman" w:eastAsia="SimSun" w:hAnsi="Times New Roman" w:cs="Times New Roman"/>
                <w:sz w:val="20"/>
                <w:szCs w:val="20"/>
              </w:rPr>
            </w:pPr>
            <w:r>
              <w:rPr>
                <w:rFonts w:ascii="Times New Roman" w:eastAsia="SimSun" w:hAnsi="Times New Roman" w:cs="Times New Roman"/>
                <w:noProof/>
                <w:sz w:val="20"/>
                <w:szCs w:val="20"/>
              </w:rPr>
              <w:drawing>
                <wp:inline distT="0" distB="0" distL="114300" distR="114300" wp14:anchorId="755C330A" wp14:editId="6D1EEA96">
                  <wp:extent cx="1760220" cy="1587500"/>
                  <wp:effectExtent l="0" t="0" r="7620" b="12700"/>
                  <wp:docPr id="10" name="Imagem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3" descr="IMG_256"/>
                          <pic:cNvPicPr>
                            <a:picLocks noChangeAspect="1"/>
                          </pic:cNvPicPr>
                        </pic:nvPicPr>
                        <pic:blipFill>
                          <a:blip r:embed="rId33"/>
                          <a:stretch>
                            <a:fillRect/>
                          </a:stretch>
                        </pic:blipFill>
                        <pic:spPr>
                          <a:xfrm>
                            <a:off x="0" y="0"/>
                            <a:ext cx="1760220" cy="1587500"/>
                          </a:xfrm>
                          <a:prstGeom prst="rect">
                            <a:avLst/>
                          </a:prstGeom>
                          <a:noFill/>
                          <a:ln w="9525">
                            <a:noFill/>
                          </a:ln>
                        </pic:spPr>
                      </pic:pic>
                    </a:graphicData>
                  </a:graphic>
                </wp:inline>
              </w:drawing>
            </w:r>
          </w:p>
        </w:tc>
        <w:tc>
          <w:tcPr>
            <w:tcW w:w="4152" w:type="dxa"/>
            <w:tcBorders>
              <w:top w:val="nil"/>
              <w:left w:val="nil"/>
              <w:bottom w:val="nil"/>
              <w:right w:val="nil"/>
            </w:tcBorders>
          </w:tcPr>
          <w:p w14:paraId="12069FCF" w14:textId="77777777" w:rsidR="0003312E" w:rsidRDefault="00000000">
            <w:pPr>
              <w:spacing w:after="0" w:line="240" w:lineRule="auto"/>
              <w:jc w:val="both"/>
              <w:rPr>
                <w:rStyle w:val="Forte"/>
                <w:rFonts w:ascii="Times New Roman" w:eastAsia="Garamond"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noProof/>
                <w:sz w:val="20"/>
                <w:szCs w:val="20"/>
              </w:rPr>
              <w:drawing>
                <wp:inline distT="0" distB="0" distL="114300" distR="114300" wp14:anchorId="561A6252" wp14:editId="4D3AB7EF">
                  <wp:extent cx="1176020" cy="1539240"/>
                  <wp:effectExtent l="0" t="0" r="5080" b="3810"/>
                  <wp:docPr id="1127496858" name="Imagem 1127496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496858" name="Imagem 1127496858"/>
                          <pic:cNvPicPr>
                            <a:picLocks noChangeAspect="1"/>
                          </pic:cNvPicPr>
                        </pic:nvPicPr>
                        <pic:blipFill>
                          <a:blip r:embed="rId34">
                            <a:extLst>
                              <a:ext uri="{BEBA8EAE-BF5A-486C-A8C5-ECC9F3942E4B}">
                                <a14:imgProps xmlns:a14="http://schemas.microsoft.com/office/drawing/2010/main">
                                  <a14:imgLayer r:embed="rId35">
                                    <a14:imgEffect>
                                      <a14:saturation sat="400000"/>
                                    </a14:imgEffect>
                                  </a14:imgLayer>
                                </a14:imgProps>
                              </a:ext>
                            </a:extLst>
                          </a:blip>
                          <a:stretch>
                            <a:fillRect/>
                          </a:stretch>
                        </pic:blipFill>
                        <pic:spPr>
                          <a:xfrm>
                            <a:off x="0" y="0"/>
                            <a:ext cx="1187063" cy="1553742"/>
                          </a:xfrm>
                          <a:prstGeom prst="rect">
                            <a:avLst/>
                          </a:prstGeom>
                          <a:noFill/>
                          <a:ln>
                            <a:noFill/>
                          </a:ln>
                        </pic:spPr>
                      </pic:pic>
                    </a:graphicData>
                  </a:graphic>
                </wp:inline>
              </w:drawing>
            </w:r>
            <w:r>
              <w:rPr>
                <w:rFonts w:ascii="Times New Roman" w:eastAsia="SimSun" w:hAnsi="Times New Roman" w:cs="Times New Roman"/>
                <w:noProof/>
                <w:sz w:val="20"/>
                <w:szCs w:val="20"/>
              </w:rPr>
              <w:drawing>
                <wp:inline distT="0" distB="0" distL="114300" distR="114300" wp14:anchorId="60AF24FD" wp14:editId="3A2ADD98">
                  <wp:extent cx="1188720" cy="1461770"/>
                  <wp:effectExtent l="0" t="0" r="0" b="5080"/>
                  <wp:docPr id="1" name="Imagem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MG_256"/>
                          <pic:cNvPicPr>
                            <a:picLocks noChangeAspect="1"/>
                          </pic:cNvPicPr>
                        </pic:nvPicPr>
                        <pic:blipFill>
                          <a:blip r:embed="rId36"/>
                          <a:srcRect b="13738"/>
                          <a:stretch>
                            <a:fillRect/>
                          </a:stretch>
                        </pic:blipFill>
                        <pic:spPr>
                          <a:xfrm>
                            <a:off x="0" y="0"/>
                            <a:ext cx="1191869" cy="1466080"/>
                          </a:xfrm>
                          <a:prstGeom prst="rect">
                            <a:avLst/>
                          </a:prstGeom>
                          <a:noFill/>
                          <a:ln>
                            <a:noFill/>
                          </a:ln>
                        </pic:spPr>
                      </pic:pic>
                    </a:graphicData>
                  </a:graphic>
                </wp:inline>
              </w:drawing>
            </w:r>
          </w:p>
        </w:tc>
      </w:tr>
      <w:tr w:rsidR="0003312E" w14:paraId="5A3131A5" w14:textId="77777777">
        <w:trPr>
          <w:trHeight w:val="476"/>
        </w:trPr>
        <w:tc>
          <w:tcPr>
            <w:tcW w:w="4353" w:type="dxa"/>
            <w:tcBorders>
              <w:top w:val="nil"/>
              <w:left w:val="nil"/>
              <w:bottom w:val="nil"/>
              <w:right w:val="nil"/>
            </w:tcBorders>
          </w:tcPr>
          <w:p w14:paraId="240540FA" w14:textId="77777777" w:rsidR="0003312E" w:rsidRDefault="00000000">
            <w:pPr>
              <w:pStyle w:val="NormalWeb"/>
              <w:shd w:val="clear" w:color="auto" w:fill="FFFFFF"/>
              <w:spacing w:beforeAutospacing="0" w:after="0" w:afterAutospacing="0" w:line="240" w:lineRule="auto"/>
              <w:jc w:val="both"/>
              <w:rPr>
                <w:rStyle w:val="Forte"/>
                <w:rFonts w:eastAsia="Garamond"/>
                <w:sz w:val="20"/>
                <w:szCs w:val="20"/>
                <w:lang w:val="pt-BR"/>
              </w:rPr>
            </w:pPr>
            <w:r>
              <w:rPr>
                <w:rFonts w:eastAsiaTheme="majorEastAsia"/>
                <w:i/>
                <w:iCs/>
                <w:lang w:val="pt-BR"/>
              </w:rPr>
              <w:t>Figura E.1: O Cérebro como Arquivo Vivo de Significados</w:t>
            </w:r>
            <w:r>
              <w:rPr>
                <w:rFonts w:eastAsiaTheme="majorEastAsia"/>
                <w:lang w:val="pt-BR"/>
              </w:rPr>
              <w:br/>
            </w:r>
          </w:p>
        </w:tc>
        <w:tc>
          <w:tcPr>
            <w:tcW w:w="4152" w:type="dxa"/>
            <w:tcBorders>
              <w:top w:val="nil"/>
              <w:left w:val="nil"/>
              <w:bottom w:val="nil"/>
              <w:right w:val="nil"/>
            </w:tcBorders>
          </w:tcPr>
          <w:p w14:paraId="789A8019" w14:textId="77777777" w:rsidR="0003312E" w:rsidRDefault="00000000">
            <w:pPr>
              <w:pStyle w:val="PargrafodaLista"/>
              <w:shd w:val="clear" w:color="auto" w:fill="FFFFFF"/>
              <w:spacing w:after="0" w:line="240" w:lineRule="auto"/>
              <w:ind w:left="360"/>
              <w:jc w:val="both"/>
              <w:rPr>
                <w:rStyle w:val="Forte"/>
                <w:rFonts w:ascii="Times New Roman" w:eastAsia="Garamond" w:hAnsi="Times New Roman" w:cs="Times New Roman"/>
                <w:sz w:val="20"/>
                <w:szCs w:val="20"/>
              </w:rPr>
            </w:pPr>
            <w:r>
              <w:rPr>
                <w:rFonts w:ascii="Times New Roman" w:eastAsiaTheme="majorEastAsia" w:hAnsi="Times New Roman" w:cs="Times New Roman"/>
                <w:i/>
                <w:iCs/>
                <w:sz w:val="20"/>
                <w:szCs w:val="20"/>
              </w:rPr>
              <w:t xml:space="preserve">Figura E.2: </w:t>
            </w:r>
            <w:proofErr w:type="spellStart"/>
            <w:r>
              <w:rPr>
                <w:rFonts w:ascii="Times New Roman" w:eastAsia="Segoe UI" w:hAnsi="Times New Roman" w:cs="Times New Roman"/>
                <w:i/>
                <w:iCs/>
                <w:sz w:val="20"/>
                <w:szCs w:val="20"/>
                <w:shd w:val="clear" w:color="auto" w:fill="FFFFFF"/>
              </w:rPr>
              <w:t>Owsei</w:t>
            </w:r>
            <w:proofErr w:type="spellEnd"/>
            <w:r>
              <w:rPr>
                <w:rFonts w:ascii="Times New Roman" w:eastAsia="Segoe UI" w:hAnsi="Times New Roman" w:cs="Times New Roman"/>
                <w:i/>
                <w:iCs/>
                <w:sz w:val="20"/>
                <w:szCs w:val="20"/>
                <w:shd w:val="clear" w:color="auto" w:fill="FFFFFF"/>
              </w:rPr>
              <w:t xml:space="preserve"> </w:t>
            </w:r>
            <w:proofErr w:type="spellStart"/>
            <w:r>
              <w:rPr>
                <w:rFonts w:ascii="Times New Roman" w:eastAsia="Segoe UI" w:hAnsi="Times New Roman" w:cs="Times New Roman"/>
                <w:i/>
                <w:iCs/>
                <w:sz w:val="20"/>
                <w:szCs w:val="20"/>
                <w:shd w:val="clear" w:color="auto" w:fill="FFFFFF"/>
              </w:rPr>
              <w:t>Temkin</w:t>
            </w:r>
            <w:proofErr w:type="spellEnd"/>
            <w:r>
              <w:rPr>
                <w:rFonts w:ascii="Times New Roman" w:eastAsia="Segoe UI" w:hAnsi="Times New Roman" w:cs="Times New Roman"/>
                <w:i/>
                <w:iCs/>
                <w:sz w:val="20"/>
                <w:szCs w:val="20"/>
                <w:shd w:val="clear" w:color="auto" w:fill="FFFFFF"/>
              </w:rPr>
              <w:t xml:space="preserve"> (1902 - 2002) e Oliver Sacks (1933 - 2015)</w:t>
            </w:r>
            <w:r>
              <w:rPr>
                <w:rFonts w:ascii="Times New Roman" w:eastAsiaTheme="majorEastAsia" w:hAnsi="Times New Roman" w:cs="Times New Roman"/>
                <w:i/>
                <w:iCs/>
                <w:sz w:val="20"/>
                <w:szCs w:val="20"/>
              </w:rPr>
              <w:t xml:space="preserve">: </w:t>
            </w:r>
            <w:r>
              <w:rPr>
                <w:rStyle w:val="Forte"/>
                <w:rFonts w:ascii="Times New Roman" w:hAnsi="Times New Roman" w:cs="Times New Roman"/>
                <w:b w:val="0"/>
                <w:bCs w:val="0"/>
                <w:i/>
                <w:iCs/>
                <w:color w:val="0F1115"/>
                <w:sz w:val="20"/>
                <w:szCs w:val="20"/>
              </w:rPr>
              <w:t>A História das Palavras e as Narrativas da Doença</w:t>
            </w:r>
          </w:p>
        </w:tc>
      </w:tr>
    </w:tbl>
    <w:p w14:paraId="2C4A7CCE" w14:textId="77777777" w:rsidR="0003312E" w:rsidRDefault="0003312E">
      <w:pPr>
        <w:spacing w:after="0" w:line="360" w:lineRule="auto"/>
        <w:ind w:firstLine="709"/>
        <w:jc w:val="both"/>
        <w:rPr>
          <w:rFonts w:ascii="Times New Roman" w:hAnsi="Times New Roman" w:cs="Times New Roman"/>
          <w:b/>
          <w:bCs/>
          <w:sz w:val="24"/>
        </w:rPr>
      </w:pPr>
    </w:p>
    <w:p w14:paraId="40A2B9F6" w14:textId="77777777" w:rsidR="0003312E" w:rsidRDefault="00000000">
      <w:pPr>
        <w:spacing w:after="0" w:line="360" w:lineRule="auto"/>
        <w:ind w:firstLine="709"/>
        <w:jc w:val="both"/>
        <w:rPr>
          <w:rFonts w:ascii="Times New Roman" w:hAnsi="Times New Roman" w:cs="Times New Roman"/>
          <w:b/>
          <w:bCs/>
          <w:sz w:val="24"/>
        </w:rPr>
      </w:pPr>
      <w:proofErr w:type="gramStart"/>
      <w:r>
        <w:rPr>
          <w:rFonts w:ascii="Times New Roman" w:hAnsi="Times New Roman" w:cs="Times New Roman"/>
          <w:b/>
          <w:bCs/>
          <w:sz w:val="24"/>
        </w:rPr>
        <w:t>As  figuras</w:t>
      </w:r>
      <w:proofErr w:type="gramEnd"/>
      <w:r>
        <w:rPr>
          <w:rFonts w:ascii="Times New Roman" w:hAnsi="Times New Roman" w:cs="Times New Roman"/>
          <w:b/>
          <w:bCs/>
          <w:sz w:val="24"/>
        </w:rPr>
        <w:t xml:space="preserve">  de Abertura</w:t>
      </w:r>
    </w:p>
    <w:p w14:paraId="3DC4E503" w14:textId="77777777" w:rsidR="0003312E" w:rsidRDefault="00000000">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Imagine um cérebro humano estilizado, pulsante, onde cada sulco e giro transcende a anatomia neural para converter-se em um palimpsesto de significados. Nele, as palavras que nomeiam a mente não se limitam a categorias clínicas: são, nas palavras de </w:t>
      </w:r>
      <w:proofErr w:type="spellStart"/>
      <w:r>
        <w:rPr>
          <w:rFonts w:ascii="Times New Roman" w:hAnsi="Times New Roman" w:cs="Times New Roman"/>
          <w:sz w:val="24"/>
        </w:rPr>
        <w:t>Owsei</w:t>
      </w:r>
      <w:proofErr w:type="spellEnd"/>
      <w:r>
        <w:rPr>
          <w:rFonts w:ascii="Times New Roman" w:hAnsi="Times New Roman" w:cs="Times New Roman"/>
          <w:sz w:val="24"/>
        </w:rPr>
        <w:t xml:space="preserve"> </w:t>
      </w:r>
      <w:proofErr w:type="spellStart"/>
      <w:r>
        <w:rPr>
          <w:rFonts w:ascii="Times New Roman" w:hAnsi="Times New Roman" w:cs="Times New Roman"/>
          <w:sz w:val="24"/>
        </w:rPr>
        <w:t>Temkin</w:t>
      </w:r>
      <w:proofErr w:type="spellEnd"/>
      <w:r>
        <w:rPr>
          <w:rFonts w:ascii="Times New Roman" w:hAnsi="Times New Roman" w:cs="Times New Roman"/>
          <w:sz w:val="24"/>
        </w:rPr>
        <w:t xml:space="preserve">, verdadeiros fósseis do </w:t>
      </w:r>
      <w:proofErr w:type="gramStart"/>
      <w:r>
        <w:rPr>
          <w:rFonts w:ascii="Times New Roman" w:hAnsi="Times New Roman" w:cs="Times New Roman"/>
          <w:sz w:val="24"/>
        </w:rPr>
        <w:t>pensamento  -</w:t>
      </w:r>
      <w:proofErr w:type="gramEnd"/>
      <w:r>
        <w:rPr>
          <w:rFonts w:ascii="Times New Roman" w:hAnsi="Times New Roman" w:cs="Times New Roman"/>
          <w:sz w:val="24"/>
        </w:rPr>
        <w:t xml:space="preserve">  estratos linguísticos que preservam camadas sucessivas de mitos, equívocos, descobertas e reinvenções. Funcionam como um museu vivo, onde a histeria sussurra segredos hipocráticos, a melancolia carrega o peso dos humores antigos e a ansiedade, essa inquieta </w:t>
      </w:r>
      <w:r>
        <w:rPr>
          <w:rFonts w:ascii="Times New Roman" w:hAnsi="Times New Roman" w:cs="Times New Roman"/>
          <w:sz w:val="24"/>
          <w:szCs w:val="24"/>
        </w:rPr>
        <w:t xml:space="preserve">companheira da contemporaneidade, ainda ressoa os temores de uma humanidade anterior à ciência. </w:t>
      </w:r>
      <w:proofErr w:type="spellStart"/>
      <w:r>
        <w:rPr>
          <w:rFonts w:ascii="Times New Roman" w:eastAsia="Segoe UI" w:hAnsi="Times New Roman" w:cs="Times New Roman"/>
          <w:sz w:val="24"/>
          <w:szCs w:val="24"/>
          <w:shd w:val="clear" w:color="auto" w:fill="FFFFFF"/>
        </w:rPr>
        <w:t>Owsei</w:t>
      </w:r>
      <w:proofErr w:type="spellEnd"/>
      <w:r>
        <w:rPr>
          <w:rFonts w:ascii="Times New Roman" w:eastAsia="Segoe UI" w:hAnsi="Times New Roman" w:cs="Times New Roman"/>
          <w:sz w:val="24"/>
          <w:szCs w:val="24"/>
          <w:shd w:val="clear" w:color="auto" w:fill="FFFFFF"/>
        </w:rPr>
        <w:t xml:space="preserve"> </w:t>
      </w:r>
      <w:proofErr w:type="spellStart"/>
      <w:r>
        <w:rPr>
          <w:rFonts w:ascii="Times New Roman" w:eastAsia="Segoe UI" w:hAnsi="Times New Roman" w:cs="Times New Roman"/>
          <w:sz w:val="24"/>
          <w:szCs w:val="24"/>
          <w:shd w:val="clear" w:color="auto" w:fill="FFFFFF"/>
        </w:rPr>
        <w:t>Temkin</w:t>
      </w:r>
      <w:proofErr w:type="spellEnd"/>
      <w:r>
        <w:rPr>
          <w:rFonts w:ascii="Times New Roman" w:eastAsia="Segoe UI" w:hAnsi="Times New Roman" w:cs="Times New Roman"/>
          <w:sz w:val="24"/>
          <w:szCs w:val="24"/>
          <w:shd w:val="clear" w:color="auto" w:fill="FFFFFF"/>
        </w:rPr>
        <w:t xml:space="preserve"> (1902 - 2002) e Oliver Sacks (1933 - 2015), d</w:t>
      </w:r>
      <w:r>
        <w:rPr>
          <w:rFonts w:ascii="Times New Roman" w:hAnsi="Times New Roman" w:cs="Times New Roman"/>
          <w:sz w:val="24"/>
          <w:szCs w:val="24"/>
        </w:rPr>
        <w:t>ois grandes intelectuais, separados por uma geração, uniram-se pela convicção de que a medicina não se reduz à ciência</w:t>
      </w:r>
      <w:r>
        <w:rPr>
          <w:rFonts w:ascii="Times New Roman" w:hAnsi="Times New Roman" w:cs="Times New Roman"/>
          <w:sz w:val="24"/>
        </w:rPr>
        <w:t>: é também história viva, e suas palavras testemunham essa trajetória. Eles nos mostram que as palavras são como sinapses, pois conectam não só neurônios, mas épocas, culturas e almas.</w:t>
      </w:r>
    </w:p>
    <w:p w14:paraId="45928B57" w14:textId="77777777" w:rsidR="0003312E" w:rsidRDefault="0003312E">
      <w:pPr>
        <w:spacing w:after="0" w:line="360" w:lineRule="auto"/>
        <w:ind w:firstLine="709"/>
        <w:jc w:val="both"/>
        <w:rPr>
          <w:rFonts w:ascii="Times New Roman" w:hAnsi="Times New Roman" w:cs="Times New Roman"/>
          <w:sz w:val="24"/>
        </w:rPr>
      </w:pPr>
    </w:p>
    <w:p w14:paraId="21F86DFC" w14:textId="77777777" w:rsidR="0003312E" w:rsidRDefault="00000000">
      <w:pPr>
        <w:spacing w:after="0" w:line="360" w:lineRule="auto"/>
        <w:ind w:firstLine="709"/>
        <w:jc w:val="both"/>
        <w:rPr>
          <w:rFonts w:ascii="Times New Roman" w:hAnsi="Times New Roman" w:cs="Times New Roman"/>
          <w:b/>
          <w:bCs/>
          <w:sz w:val="24"/>
        </w:rPr>
      </w:pPr>
      <w:r>
        <w:rPr>
          <w:rFonts w:ascii="Times New Roman" w:hAnsi="Times New Roman" w:cs="Times New Roman"/>
          <w:b/>
          <w:bCs/>
          <w:sz w:val="24"/>
        </w:rPr>
        <w:t>O Museu Vivo da Mente</w:t>
      </w:r>
    </w:p>
    <w:p w14:paraId="52A02D2B" w14:textId="77777777" w:rsidR="0003312E" w:rsidRDefault="00000000">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Ao longo deste livro, percorremos uma jornada singular por dez conceitos fundamentais que moldaram nossa compreensão da mente </w:t>
      </w:r>
      <w:proofErr w:type="gramStart"/>
      <w:r>
        <w:rPr>
          <w:rFonts w:ascii="Times New Roman" w:hAnsi="Times New Roman" w:cs="Times New Roman"/>
          <w:sz w:val="24"/>
        </w:rPr>
        <w:t>humana  -</w:t>
      </w:r>
      <w:proofErr w:type="gramEnd"/>
      <w:r>
        <w:rPr>
          <w:rFonts w:ascii="Times New Roman" w:hAnsi="Times New Roman" w:cs="Times New Roman"/>
          <w:sz w:val="24"/>
        </w:rPr>
        <w:t xml:space="preserve">  da hipnose e do coma ao frenesi, da melancolia ao êxtase, do delírio à histeria, da neurastenia à ansiedade e à eutimia. Cada capítulo desvendou a história etimológica desses termos, revelando como evoluíram de suas origens mitológicas e culturais até os significados que hoje povoam os manuais de neurociência. Vimos, assim, que as palavras que nomeiam estados mentais carregam consigo séculos de </w:t>
      </w:r>
      <w:r>
        <w:rPr>
          <w:rFonts w:ascii="Times New Roman" w:hAnsi="Times New Roman" w:cs="Times New Roman"/>
          <w:sz w:val="24"/>
        </w:rPr>
        <w:lastRenderedPageBreak/>
        <w:t>transformações culturais, científicas e filosóficas. Elas não apenas descrevem a realidade, mas também a conformam, influenciando profundamente o modo como entendemos a nós mesmos.</w:t>
      </w:r>
    </w:p>
    <w:p w14:paraId="65F1B58B" w14:textId="77777777" w:rsidR="0003312E" w:rsidRDefault="00000000">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Imagine adentrar uma galeria onde cada peça não se apresenta estática, mas respira. A histeria, por exemplo, não é apenas um diagnóstico obsoleto: é um espelho das obsessões de cada época. No século XIX, a histeria era ainda vista como a 'doença das mulheres', sintoma de uma suposta fragilidade feminina - uma crença que resgatava a antiga e milenar teoria do útero errante. Hoje, seus ecos persistem no transtorno de conversão, em que o corpo traduz conflitos psíquicos em sintomas físicos - um conceito que, embora tenha surgido para superar o modelo preconceituoso da histeria, ainda carrega o desafio de dissociar-se completamente do estigma histórico que </w:t>
      </w:r>
      <w:proofErr w:type="spellStart"/>
      <w:r>
        <w:rPr>
          <w:rFonts w:ascii="Times New Roman" w:hAnsi="Times New Roman" w:cs="Times New Roman"/>
          <w:sz w:val="24"/>
        </w:rPr>
        <w:t>patologizou</w:t>
      </w:r>
      <w:proofErr w:type="spellEnd"/>
      <w:r>
        <w:rPr>
          <w:rFonts w:ascii="Times New Roman" w:hAnsi="Times New Roman" w:cs="Times New Roman"/>
          <w:sz w:val="24"/>
        </w:rPr>
        <w:t xml:space="preserve"> o corpo feminino.</w:t>
      </w:r>
    </w:p>
    <w:p w14:paraId="04CE770F" w14:textId="77777777" w:rsidR="0003312E" w:rsidRDefault="00000000">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Tomemos ainda a neurastenia, o "cansaço dos nervos" que assombrou a era industrial. Cunhada pelo neurologista George Beard em 1869, capturava o esgotamento de uma sociedade em acelerada transformação. Seu equivalente contemporâneo talvez seja a síndrome de burnout - outro termo que, como observaria </w:t>
      </w:r>
      <w:proofErr w:type="spellStart"/>
      <w:r>
        <w:rPr>
          <w:rFonts w:ascii="Times New Roman" w:hAnsi="Times New Roman" w:cs="Times New Roman"/>
          <w:sz w:val="24"/>
        </w:rPr>
        <w:t>Temkin</w:t>
      </w:r>
      <w:proofErr w:type="spellEnd"/>
      <w:r>
        <w:rPr>
          <w:rFonts w:ascii="Times New Roman" w:hAnsi="Times New Roman" w:cs="Times New Roman"/>
          <w:sz w:val="24"/>
        </w:rPr>
        <w:t>, carrega consigo o peso do seu tempo.</w:t>
      </w:r>
    </w:p>
    <w:p w14:paraId="7FBA1A97" w14:textId="77777777" w:rsidR="0003312E" w:rsidRDefault="00000000">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Até a eutimia, estado de equilíbrio emocional almejado pela psiquiatria moderna, enraíza-se em origens surpreendentes. O termo, ressignificado e adotado pela psiquiatria no século XX, evoca a </w:t>
      </w:r>
      <w:proofErr w:type="spellStart"/>
      <w:r>
        <w:rPr>
          <w:rFonts w:ascii="Times New Roman" w:hAnsi="Times New Roman" w:cs="Times New Roman"/>
          <w:sz w:val="24"/>
        </w:rPr>
        <w:t>euthymia</w:t>
      </w:r>
      <w:proofErr w:type="spellEnd"/>
      <w:r>
        <w:rPr>
          <w:rFonts w:ascii="Times New Roman" w:hAnsi="Times New Roman" w:cs="Times New Roman"/>
          <w:sz w:val="24"/>
        </w:rPr>
        <w:t xml:space="preserve"> grega, a "boa alma" dos estoicos - um ideal filosófico que, séculos depois, </w:t>
      </w:r>
      <w:proofErr w:type="spellStart"/>
      <w:r>
        <w:rPr>
          <w:rFonts w:ascii="Times New Roman" w:hAnsi="Times New Roman" w:cs="Times New Roman"/>
          <w:sz w:val="24"/>
        </w:rPr>
        <w:t>converteria-se</w:t>
      </w:r>
      <w:proofErr w:type="spellEnd"/>
      <w:r>
        <w:rPr>
          <w:rFonts w:ascii="Times New Roman" w:hAnsi="Times New Roman" w:cs="Times New Roman"/>
          <w:sz w:val="24"/>
        </w:rPr>
        <w:t xml:space="preserve"> em objetivo clínico. Como assinalou </w:t>
      </w:r>
      <w:proofErr w:type="spellStart"/>
      <w:r>
        <w:rPr>
          <w:rFonts w:ascii="Times New Roman" w:hAnsi="Times New Roman" w:cs="Times New Roman"/>
          <w:sz w:val="24"/>
        </w:rPr>
        <w:t>Temkin</w:t>
      </w:r>
      <w:proofErr w:type="spellEnd"/>
      <w:r>
        <w:rPr>
          <w:rFonts w:ascii="Times New Roman" w:hAnsi="Times New Roman" w:cs="Times New Roman"/>
          <w:sz w:val="24"/>
        </w:rPr>
        <w:t>, "as palavras não morrem; metamorfoseiam-se".</w:t>
      </w:r>
    </w:p>
    <w:p w14:paraId="219B1023" w14:textId="77777777" w:rsidR="0003312E" w:rsidRDefault="0003312E">
      <w:pPr>
        <w:spacing w:after="0" w:line="360" w:lineRule="auto"/>
        <w:ind w:firstLine="709"/>
        <w:jc w:val="both"/>
        <w:rPr>
          <w:rFonts w:ascii="Times New Roman" w:hAnsi="Times New Roman" w:cs="Times New Roman"/>
          <w:sz w:val="24"/>
        </w:rPr>
      </w:pPr>
    </w:p>
    <w:p w14:paraId="54C6DD2A" w14:textId="77777777" w:rsidR="0003312E" w:rsidRDefault="00000000">
      <w:pPr>
        <w:spacing w:after="0" w:line="360" w:lineRule="auto"/>
        <w:ind w:firstLine="709"/>
        <w:jc w:val="both"/>
        <w:rPr>
          <w:rFonts w:ascii="Times New Roman" w:hAnsi="Times New Roman" w:cs="Times New Roman"/>
          <w:b/>
          <w:bCs/>
          <w:sz w:val="24"/>
        </w:rPr>
      </w:pPr>
      <w:r>
        <w:rPr>
          <w:rFonts w:ascii="Times New Roman" w:hAnsi="Times New Roman" w:cs="Times New Roman"/>
          <w:b/>
          <w:bCs/>
          <w:sz w:val="24"/>
        </w:rPr>
        <w:t xml:space="preserve">A Voz de </w:t>
      </w:r>
      <w:proofErr w:type="spellStart"/>
      <w:r>
        <w:rPr>
          <w:rFonts w:ascii="Times New Roman" w:hAnsi="Times New Roman" w:cs="Times New Roman"/>
          <w:b/>
          <w:bCs/>
          <w:sz w:val="24"/>
        </w:rPr>
        <w:t>Temkin</w:t>
      </w:r>
      <w:proofErr w:type="spellEnd"/>
      <w:r>
        <w:rPr>
          <w:rFonts w:ascii="Times New Roman" w:hAnsi="Times New Roman" w:cs="Times New Roman"/>
          <w:b/>
          <w:bCs/>
          <w:sz w:val="24"/>
        </w:rPr>
        <w:t xml:space="preserve"> e a Narrativa de Sacks</w:t>
      </w:r>
    </w:p>
    <w:p w14:paraId="6C1F74EA" w14:textId="77777777" w:rsidR="0003312E" w:rsidRDefault="00000000">
      <w:pPr>
        <w:spacing w:after="0" w:line="360" w:lineRule="auto"/>
        <w:ind w:firstLine="709"/>
        <w:jc w:val="both"/>
        <w:rPr>
          <w:rFonts w:ascii="Times New Roman" w:hAnsi="Times New Roman" w:cs="Times New Roman"/>
          <w:sz w:val="24"/>
        </w:rPr>
      </w:pPr>
      <w:proofErr w:type="spellStart"/>
      <w:r>
        <w:rPr>
          <w:rFonts w:ascii="Times New Roman" w:hAnsi="Times New Roman" w:cs="Times New Roman"/>
          <w:sz w:val="24"/>
        </w:rPr>
        <w:t>Temkin</w:t>
      </w:r>
      <w:proofErr w:type="spellEnd"/>
      <w:r>
        <w:rPr>
          <w:rFonts w:ascii="Times New Roman" w:hAnsi="Times New Roman" w:cs="Times New Roman"/>
          <w:sz w:val="24"/>
        </w:rPr>
        <w:t xml:space="preserve">, historiador meticuloso nascido em Minsk e formado em Leipzig, dedicou-se a desvendar como os termos </w:t>
      </w:r>
      <w:proofErr w:type="gramStart"/>
      <w:r>
        <w:rPr>
          <w:rFonts w:ascii="Times New Roman" w:hAnsi="Times New Roman" w:cs="Times New Roman"/>
          <w:sz w:val="24"/>
        </w:rPr>
        <w:t>médicos  -</w:t>
      </w:r>
      <w:proofErr w:type="gramEnd"/>
      <w:r>
        <w:rPr>
          <w:rFonts w:ascii="Times New Roman" w:hAnsi="Times New Roman" w:cs="Times New Roman"/>
          <w:sz w:val="24"/>
        </w:rPr>
        <w:t xml:space="preserve">  da epilepsia (do grego </w:t>
      </w:r>
      <w:proofErr w:type="spellStart"/>
      <w:r>
        <w:rPr>
          <w:rFonts w:ascii="Times New Roman" w:hAnsi="Times New Roman" w:cs="Times New Roman"/>
          <w:i/>
          <w:iCs/>
          <w:sz w:val="24"/>
        </w:rPr>
        <w:t>epilambanein</w:t>
      </w:r>
      <w:proofErr w:type="spellEnd"/>
      <w:r>
        <w:rPr>
          <w:rFonts w:ascii="Times New Roman" w:hAnsi="Times New Roman" w:cs="Times New Roman"/>
          <w:sz w:val="24"/>
        </w:rPr>
        <w:t xml:space="preserve">, "aquilo que se apodera") à melancolia (o "humor negro" da </w:t>
      </w:r>
      <w:proofErr w:type="gramStart"/>
      <w:r>
        <w:rPr>
          <w:rFonts w:ascii="Times New Roman" w:hAnsi="Times New Roman" w:cs="Times New Roman"/>
          <w:sz w:val="24"/>
        </w:rPr>
        <w:t>Antiguidade)  -</w:t>
      </w:r>
      <w:proofErr w:type="gramEnd"/>
      <w:r>
        <w:rPr>
          <w:rFonts w:ascii="Times New Roman" w:hAnsi="Times New Roman" w:cs="Times New Roman"/>
          <w:sz w:val="24"/>
        </w:rPr>
        <w:t xml:space="preserve">  constituem artefatos culturais, e não meras descrições nosológicas. Em </w:t>
      </w:r>
      <w:r>
        <w:rPr>
          <w:rFonts w:ascii="Times New Roman" w:hAnsi="Times New Roman" w:cs="Times New Roman"/>
          <w:i/>
          <w:iCs/>
          <w:sz w:val="24"/>
        </w:rPr>
        <w:t xml:space="preserve">The </w:t>
      </w:r>
      <w:proofErr w:type="spellStart"/>
      <w:r>
        <w:rPr>
          <w:rFonts w:ascii="Times New Roman" w:hAnsi="Times New Roman" w:cs="Times New Roman"/>
          <w:i/>
          <w:iCs/>
          <w:sz w:val="24"/>
        </w:rPr>
        <w:t>Falling</w:t>
      </w:r>
      <w:proofErr w:type="spellEnd"/>
      <w:r>
        <w:rPr>
          <w:rFonts w:ascii="Times New Roman" w:hAnsi="Times New Roman" w:cs="Times New Roman"/>
          <w:i/>
          <w:iCs/>
          <w:sz w:val="24"/>
        </w:rPr>
        <w:t xml:space="preserve"> </w:t>
      </w:r>
      <w:proofErr w:type="spellStart"/>
      <w:r>
        <w:rPr>
          <w:rFonts w:ascii="Times New Roman" w:hAnsi="Times New Roman" w:cs="Times New Roman"/>
          <w:i/>
          <w:iCs/>
          <w:sz w:val="24"/>
        </w:rPr>
        <w:t>Sickness</w:t>
      </w:r>
      <w:proofErr w:type="spellEnd"/>
      <w:r>
        <w:rPr>
          <w:rFonts w:ascii="Times New Roman" w:hAnsi="Times New Roman" w:cs="Times New Roman"/>
          <w:sz w:val="24"/>
        </w:rPr>
        <w:t xml:space="preserve"> (1945), demonstrou como uma mesma condição foi interpretada como possessão divina, desequilíbrio humoral e, posteriormente, disfunção </w:t>
      </w:r>
      <w:proofErr w:type="gramStart"/>
      <w:r>
        <w:rPr>
          <w:rFonts w:ascii="Times New Roman" w:hAnsi="Times New Roman" w:cs="Times New Roman"/>
          <w:sz w:val="24"/>
        </w:rPr>
        <w:t>neural  -</w:t>
      </w:r>
      <w:proofErr w:type="gramEnd"/>
      <w:r>
        <w:rPr>
          <w:rFonts w:ascii="Times New Roman" w:hAnsi="Times New Roman" w:cs="Times New Roman"/>
          <w:sz w:val="24"/>
        </w:rPr>
        <w:t xml:space="preserve">  sem que nenhuma dessas camadas fosse completamente apagada. Para </w:t>
      </w:r>
      <w:proofErr w:type="spellStart"/>
      <w:r>
        <w:rPr>
          <w:rFonts w:ascii="Times New Roman" w:hAnsi="Times New Roman" w:cs="Times New Roman"/>
          <w:sz w:val="24"/>
        </w:rPr>
        <w:t>Temkin</w:t>
      </w:r>
      <w:proofErr w:type="spellEnd"/>
      <w:r>
        <w:rPr>
          <w:rFonts w:ascii="Times New Roman" w:hAnsi="Times New Roman" w:cs="Times New Roman"/>
          <w:sz w:val="24"/>
        </w:rPr>
        <w:t>, cada vocábulo médico é como um estrato arqueológico: sua escavação revela não apenas o passado científico, mas também os medos, esperanças e preconceitos das sociedades que o forjaram.</w:t>
      </w:r>
    </w:p>
    <w:p w14:paraId="0DD51AFD" w14:textId="77777777" w:rsidR="0003312E" w:rsidRDefault="00000000">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Oliver Sacks, por sua vez, neurologista e contador de histórias, transportou essa compreensão para a beira do leito. Se </w:t>
      </w:r>
      <w:proofErr w:type="spellStart"/>
      <w:r>
        <w:rPr>
          <w:rFonts w:ascii="Times New Roman" w:hAnsi="Times New Roman" w:cs="Times New Roman"/>
          <w:sz w:val="24"/>
        </w:rPr>
        <w:t>Temkin</w:t>
      </w:r>
      <w:proofErr w:type="spellEnd"/>
      <w:r>
        <w:rPr>
          <w:rFonts w:ascii="Times New Roman" w:hAnsi="Times New Roman" w:cs="Times New Roman"/>
          <w:sz w:val="24"/>
        </w:rPr>
        <w:t xml:space="preserve"> desvendava a historicidade das palavras, Sacks devolvia-lhes a voz. Em obras como </w:t>
      </w:r>
      <w:r>
        <w:rPr>
          <w:rFonts w:ascii="Times New Roman" w:hAnsi="Times New Roman" w:cs="Times New Roman"/>
          <w:i/>
          <w:iCs/>
          <w:sz w:val="24"/>
        </w:rPr>
        <w:t>O Homem que Confundiu Sua Mulher com um Chapéu</w:t>
      </w:r>
      <w:r>
        <w:rPr>
          <w:rFonts w:ascii="Times New Roman" w:hAnsi="Times New Roman" w:cs="Times New Roman"/>
          <w:sz w:val="24"/>
        </w:rPr>
        <w:t> ou </w:t>
      </w:r>
      <w:proofErr w:type="spellStart"/>
      <w:r>
        <w:rPr>
          <w:rFonts w:ascii="Times New Roman" w:hAnsi="Times New Roman" w:cs="Times New Roman"/>
          <w:i/>
          <w:iCs/>
          <w:sz w:val="24"/>
        </w:rPr>
        <w:t>Awakenings</w:t>
      </w:r>
      <w:proofErr w:type="spellEnd"/>
      <w:r>
        <w:rPr>
          <w:rFonts w:ascii="Times New Roman" w:hAnsi="Times New Roman" w:cs="Times New Roman"/>
          <w:sz w:val="24"/>
        </w:rPr>
        <w:t xml:space="preserve">, mostrou que por trás de cada </w:t>
      </w:r>
      <w:proofErr w:type="gramStart"/>
      <w:r>
        <w:rPr>
          <w:rFonts w:ascii="Times New Roman" w:hAnsi="Times New Roman" w:cs="Times New Roman"/>
          <w:sz w:val="24"/>
        </w:rPr>
        <w:t>diagnóstico  -</w:t>
      </w:r>
      <w:proofErr w:type="gramEnd"/>
      <w:r>
        <w:rPr>
          <w:rFonts w:ascii="Times New Roman" w:hAnsi="Times New Roman" w:cs="Times New Roman"/>
          <w:sz w:val="24"/>
        </w:rPr>
        <w:t xml:space="preserve">  um "parkinsoniano", um </w:t>
      </w:r>
      <w:r>
        <w:rPr>
          <w:rFonts w:ascii="Times New Roman" w:hAnsi="Times New Roman" w:cs="Times New Roman"/>
          <w:sz w:val="24"/>
        </w:rPr>
        <w:lastRenderedPageBreak/>
        <w:t>"autista", um "amnésico</w:t>
      </w:r>
      <w:proofErr w:type="gramStart"/>
      <w:r>
        <w:rPr>
          <w:rFonts w:ascii="Times New Roman" w:hAnsi="Times New Roman" w:cs="Times New Roman"/>
          <w:sz w:val="24"/>
        </w:rPr>
        <w:t>"  -</w:t>
      </w:r>
      <w:proofErr w:type="gramEnd"/>
      <w:r>
        <w:rPr>
          <w:rFonts w:ascii="Times New Roman" w:hAnsi="Times New Roman" w:cs="Times New Roman"/>
          <w:sz w:val="24"/>
        </w:rPr>
        <w:t xml:space="preserve">  habita uma subjetividade singular, que desafia as categorias impessoais dos manuais. Onde um </w:t>
      </w:r>
      <w:proofErr w:type="gramStart"/>
      <w:r>
        <w:rPr>
          <w:rFonts w:ascii="Times New Roman" w:hAnsi="Times New Roman" w:cs="Times New Roman"/>
          <w:sz w:val="24"/>
        </w:rPr>
        <w:t>via fósseis linguísticos</w:t>
      </w:r>
      <w:proofErr w:type="gramEnd"/>
      <w:r>
        <w:rPr>
          <w:rFonts w:ascii="Times New Roman" w:hAnsi="Times New Roman" w:cs="Times New Roman"/>
          <w:sz w:val="24"/>
        </w:rPr>
        <w:t>, o outro via pessoas.</w:t>
      </w:r>
    </w:p>
    <w:p w14:paraId="437917A1" w14:textId="77777777" w:rsidR="0003312E" w:rsidRDefault="00000000">
      <w:pPr>
        <w:spacing w:after="0" w:line="360" w:lineRule="auto"/>
        <w:ind w:firstLine="709"/>
        <w:jc w:val="both"/>
        <w:rPr>
          <w:rFonts w:ascii="Times New Roman" w:hAnsi="Times New Roman" w:cs="Times New Roman"/>
          <w:sz w:val="24"/>
        </w:rPr>
      </w:pPr>
      <w:proofErr w:type="spellStart"/>
      <w:r>
        <w:rPr>
          <w:rFonts w:ascii="Times New Roman" w:hAnsi="Times New Roman" w:cs="Times New Roman"/>
          <w:sz w:val="24"/>
        </w:rPr>
        <w:t>Owsei</w:t>
      </w:r>
      <w:proofErr w:type="spellEnd"/>
      <w:r>
        <w:rPr>
          <w:rFonts w:ascii="Times New Roman" w:hAnsi="Times New Roman" w:cs="Times New Roman"/>
          <w:sz w:val="24"/>
        </w:rPr>
        <w:t xml:space="preserve"> </w:t>
      </w:r>
      <w:proofErr w:type="spellStart"/>
      <w:r>
        <w:rPr>
          <w:rFonts w:ascii="Times New Roman" w:hAnsi="Times New Roman" w:cs="Times New Roman"/>
          <w:sz w:val="24"/>
        </w:rPr>
        <w:t>Temkin</w:t>
      </w:r>
      <w:proofErr w:type="spellEnd"/>
      <w:r>
        <w:rPr>
          <w:rFonts w:ascii="Times New Roman" w:hAnsi="Times New Roman" w:cs="Times New Roman"/>
          <w:sz w:val="24"/>
        </w:rPr>
        <w:t xml:space="preserve"> consagrou-se a rastrear o modo como as ideias médicas se cristalizam na </w:t>
      </w:r>
      <w:proofErr w:type="gramStart"/>
      <w:r>
        <w:rPr>
          <w:rFonts w:ascii="Times New Roman" w:hAnsi="Times New Roman" w:cs="Times New Roman"/>
          <w:sz w:val="24"/>
        </w:rPr>
        <w:t>linguagem  -</w:t>
      </w:r>
      <w:proofErr w:type="gramEnd"/>
      <w:r>
        <w:rPr>
          <w:rFonts w:ascii="Times New Roman" w:hAnsi="Times New Roman" w:cs="Times New Roman"/>
          <w:sz w:val="24"/>
        </w:rPr>
        <w:t xml:space="preserve">  e como esta, por sua vez, modela a prática clínica. Em </w:t>
      </w:r>
      <w:r>
        <w:rPr>
          <w:rFonts w:ascii="Times New Roman" w:hAnsi="Times New Roman" w:cs="Times New Roman"/>
          <w:i/>
          <w:iCs/>
          <w:sz w:val="24"/>
        </w:rPr>
        <w:t xml:space="preserve">The Double Face </w:t>
      </w:r>
      <w:proofErr w:type="spellStart"/>
      <w:r>
        <w:rPr>
          <w:rFonts w:ascii="Times New Roman" w:hAnsi="Times New Roman" w:cs="Times New Roman"/>
          <w:i/>
          <w:iCs/>
          <w:sz w:val="24"/>
        </w:rPr>
        <w:t>of</w:t>
      </w:r>
      <w:proofErr w:type="spellEnd"/>
      <w:r>
        <w:rPr>
          <w:rFonts w:ascii="Times New Roman" w:hAnsi="Times New Roman" w:cs="Times New Roman"/>
          <w:i/>
          <w:iCs/>
          <w:sz w:val="24"/>
        </w:rPr>
        <w:t xml:space="preserve"> Janus</w:t>
      </w:r>
      <w:r>
        <w:rPr>
          <w:rFonts w:ascii="Times New Roman" w:hAnsi="Times New Roman" w:cs="Times New Roman"/>
          <w:sz w:val="24"/>
        </w:rPr>
        <w:t xml:space="preserve"> (1977), argumentou que a medicina oscila permanentemente entre dois polos: a doença como entidade específica (um tumor, uma bactéria, um </w:t>
      </w:r>
      <w:proofErr w:type="gramStart"/>
      <w:r>
        <w:rPr>
          <w:rFonts w:ascii="Times New Roman" w:hAnsi="Times New Roman" w:cs="Times New Roman"/>
          <w:sz w:val="24"/>
        </w:rPr>
        <w:t>gene)  -</w:t>
      </w:r>
      <w:proofErr w:type="gramEnd"/>
      <w:r>
        <w:rPr>
          <w:rFonts w:ascii="Times New Roman" w:hAnsi="Times New Roman" w:cs="Times New Roman"/>
          <w:sz w:val="24"/>
        </w:rPr>
        <w:t xml:space="preserve">  objetiva, mensurável; e a doença como experiência </w:t>
      </w:r>
      <w:proofErr w:type="gramStart"/>
      <w:r>
        <w:rPr>
          <w:rFonts w:ascii="Times New Roman" w:hAnsi="Times New Roman" w:cs="Times New Roman"/>
          <w:sz w:val="24"/>
        </w:rPr>
        <w:t>individual  -</w:t>
      </w:r>
      <w:proofErr w:type="gramEnd"/>
      <w:r>
        <w:rPr>
          <w:rFonts w:ascii="Times New Roman" w:hAnsi="Times New Roman" w:cs="Times New Roman"/>
          <w:sz w:val="24"/>
        </w:rPr>
        <w:t xml:space="preserve">  subjetiva, impregnada de significado. O perigo, alertava, reside em esquecer que ambas as dimensões são válidas. Um diagnóstico não é apenas um código na CID-11; é uma narrativa compactada. Quando um médico pronuncia "depressão", invoca não só critérios do DSM, mas séculos de associações: da </w:t>
      </w:r>
      <w:r>
        <w:rPr>
          <w:rFonts w:ascii="Times New Roman" w:hAnsi="Times New Roman" w:cs="Times New Roman"/>
          <w:i/>
          <w:iCs/>
          <w:sz w:val="24"/>
        </w:rPr>
        <w:t>acedia</w:t>
      </w:r>
      <w:r>
        <w:rPr>
          <w:rFonts w:ascii="Times New Roman" w:hAnsi="Times New Roman" w:cs="Times New Roman"/>
          <w:sz w:val="24"/>
        </w:rPr>
        <w:t xml:space="preserve"> medieval (a preguiça espiritual) à tristeza patológica de </w:t>
      </w:r>
      <w:proofErr w:type="spellStart"/>
      <w:r>
        <w:rPr>
          <w:rFonts w:ascii="Times New Roman" w:hAnsi="Times New Roman" w:cs="Times New Roman"/>
          <w:sz w:val="24"/>
        </w:rPr>
        <w:t>Kraepelin</w:t>
      </w:r>
      <w:proofErr w:type="spellEnd"/>
      <w:r>
        <w:rPr>
          <w:rFonts w:ascii="Times New Roman" w:hAnsi="Times New Roman" w:cs="Times New Roman"/>
          <w:sz w:val="24"/>
        </w:rPr>
        <w:t>, passando pelo baixo-astral do imaginário popular.</w:t>
      </w:r>
    </w:p>
    <w:p w14:paraId="178C4C6A" w14:textId="77777777" w:rsidR="0003312E" w:rsidRDefault="00000000">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Sua análise da epilepsia é paradigmática. Para os gregos, era a "doença sagrada", castigo ou bênção divina. Para os médicos setecentistas, um distúrbio dos "espíritos animais". Hoje, compreendemo-la como descarga neuronal </w:t>
      </w:r>
      <w:proofErr w:type="gramStart"/>
      <w:r>
        <w:rPr>
          <w:rFonts w:ascii="Times New Roman" w:hAnsi="Times New Roman" w:cs="Times New Roman"/>
          <w:sz w:val="24"/>
        </w:rPr>
        <w:t>anômala  -</w:t>
      </w:r>
      <w:proofErr w:type="gramEnd"/>
      <w:r>
        <w:rPr>
          <w:rFonts w:ascii="Times New Roman" w:hAnsi="Times New Roman" w:cs="Times New Roman"/>
          <w:sz w:val="24"/>
        </w:rPr>
        <w:t xml:space="preserve">  mas o estigma persiste, porque vocábulos antigos (como "lunático" ou "possesso") continuam a assombrar o imaginário coletivo. </w:t>
      </w:r>
      <w:proofErr w:type="spellStart"/>
      <w:r>
        <w:rPr>
          <w:rFonts w:ascii="Times New Roman" w:hAnsi="Times New Roman" w:cs="Times New Roman"/>
          <w:sz w:val="24"/>
        </w:rPr>
        <w:t>Temkin</w:t>
      </w:r>
      <w:proofErr w:type="spellEnd"/>
      <w:r>
        <w:rPr>
          <w:rFonts w:ascii="Times New Roman" w:hAnsi="Times New Roman" w:cs="Times New Roman"/>
          <w:sz w:val="24"/>
        </w:rPr>
        <w:t xml:space="preserve"> recorda-nos: "A história da medicina não é uma marcha linear do erro à verdade, mas um diálogo contínuo entre o antigo e o novo."</w:t>
      </w:r>
    </w:p>
    <w:p w14:paraId="7C5C3893" w14:textId="77777777" w:rsidR="0003312E" w:rsidRDefault="00000000">
      <w:pPr>
        <w:spacing w:after="0" w:line="360" w:lineRule="auto"/>
        <w:ind w:firstLine="709"/>
        <w:jc w:val="both"/>
        <w:rPr>
          <w:rFonts w:ascii="Times New Roman" w:hAnsi="Times New Roman" w:cs="Times New Roman"/>
          <w:sz w:val="24"/>
        </w:rPr>
      </w:pPr>
      <w:r>
        <w:rPr>
          <w:rFonts w:ascii="Times New Roman" w:hAnsi="Times New Roman" w:cs="Times New Roman"/>
          <w:sz w:val="24"/>
        </w:rPr>
        <w:t>Oliver Sacks (1933 - 2015) foi um neurologista e escritor britânico, formado em medicina pela Universidade de Oxford. Emigrou para os Estados Unidos em 1960, onde se especializou em neurologia e integrou o corpo docente da Faculdade de Medicina Albert Einstein por mais de quatro décadas (1965 - 2007). Notabilizou-se por seus best-sellers que relatam casos neurológicos com rara sensibilidade literária, como </w:t>
      </w:r>
      <w:proofErr w:type="spellStart"/>
      <w:r>
        <w:rPr>
          <w:rFonts w:ascii="Times New Roman" w:hAnsi="Times New Roman" w:cs="Times New Roman"/>
          <w:i/>
          <w:iCs/>
          <w:sz w:val="24"/>
        </w:rPr>
        <w:t>Awakenings</w:t>
      </w:r>
      <w:proofErr w:type="spellEnd"/>
      <w:r>
        <w:rPr>
          <w:rFonts w:ascii="Times New Roman" w:hAnsi="Times New Roman" w:cs="Times New Roman"/>
          <w:sz w:val="24"/>
        </w:rPr>
        <w:t> (1973), </w:t>
      </w:r>
      <w:r>
        <w:rPr>
          <w:rFonts w:ascii="Times New Roman" w:hAnsi="Times New Roman" w:cs="Times New Roman"/>
          <w:i/>
          <w:iCs/>
          <w:sz w:val="24"/>
        </w:rPr>
        <w:t>O Homem que Confundiu Sua Mulher com um Chapéu</w:t>
      </w:r>
      <w:r>
        <w:rPr>
          <w:rFonts w:ascii="Times New Roman" w:hAnsi="Times New Roman" w:cs="Times New Roman"/>
          <w:sz w:val="24"/>
        </w:rPr>
        <w:t> (1986) e </w:t>
      </w:r>
      <w:r>
        <w:rPr>
          <w:rFonts w:ascii="Times New Roman" w:hAnsi="Times New Roman" w:cs="Times New Roman"/>
          <w:i/>
          <w:iCs/>
          <w:sz w:val="24"/>
        </w:rPr>
        <w:t>Um Antropólogo em Marte</w:t>
      </w:r>
      <w:r>
        <w:rPr>
          <w:rFonts w:ascii="Times New Roman" w:hAnsi="Times New Roman" w:cs="Times New Roman"/>
          <w:sz w:val="24"/>
        </w:rPr>
        <w:t> (1995). Sua obra explora condições como autismo, síndrome de Tourette e encefalite letárgica com profunda empatia científica.</w:t>
      </w:r>
    </w:p>
    <w:p w14:paraId="78F356D6" w14:textId="77777777" w:rsidR="0003312E" w:rsidRDefault="00000000">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Sacks ensinou-nos algo fundamental: por trás de cada diagnóstico, há uma narrativa única. Sua abordagem humanizadora mostrou que a doença não é apenas uma disfunção biológica, mas uma experiência </w:t>
      </w:r>
      <w:proofErr w:type="gramStart"/>
      <w:r>
        <w:rPr>
          <w:rFonts w:ascii="Times New Roman" w:hAnsi="Times New Roman" w:cs="Times New Roman"/>
          <w:sz w:val="24"/>
        </w:rPr>
        <w:t>vivida  -</w:t>
      </w:r>
      <w:proofErr w:type="gramEnd"/>
      <w:r>
        <w:rPr>
          <w:rFonts w:ascii="Times New Roman" w:hAnsi="Times New Roman" w:cs="Times New Roman"/>
          <w:sz w:val="24"/>
        </w:rPr>
        <w:t xml:space="preserve">  e, como tal, merece ser escutada e compreendida em toda a sua complexidade. Foi Sacks quem nos lembrou que a ciência, para ser verdadeiramente significativa, precisa da linguagem, da empatia e da escuta atenta. Seu legado nos convida a integrar rigor e sensibilidade, unindo a precisão do laboratório à riqueza da experiência humana.</w:t>
      </w:r>
    </w:p>
    <w:p w14:paraId="2A573E43" w14:textId="77777777" w:rsidR="0003312E" w:rsidRDefault="00000000">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Juntos, </w:t>
      </w:r>
      <w:proofErr w:type="spellStart"/>
      <w:r>
        <w:rPr>
          <w:rFonts w:ascii="Times New Roman" w:hAnsi="Times New Roman" w:cs="Times New Roman"/>
          <w:sz w:val="24"/>
        </w:rPr>
        <w:t>Temkin</w:t>
      </w:r>
      <w:proofErr w:type="spellEnd"/>
      <w:r>
        <w:rPr>
          <w:rFonts w:ascii="Times New Roman" w:hAnsi="Times New Roman" w:cs="Times New Roman"/>
          <w:sz w:val="24"/>
        </w:rPr>
        <w:t xml:space="preserve"> e Sacks legaram-nos uma lição fundamental: a medicina não se esgota na cura, mas exige </w:t>
      </w:r>
      <w:proofErr w:type="gramStart"/>
      <w:r>
        <w:rPr>
          <w:rFonts w:ascii="Times New Roman" w:hAnsi="Times New Roman" w:cs="Times New Roman"/>
          <w:sz w:val="24"/>
        </w:rPr>
        <w:t>compreensão  -</w:t>
      </w:r>
      <w:proofErr w:type="gramEnd"/>
      <w:r>
        <w:rPr>
          <w:rFonts w:ascii="Times New Roman" w:hAnsi="Times New Roman" w:cs="Times New Roman"/>
          <w:sz w:val="24"/>
        </w:rPr>
        <w:t xml:space="preserve">  e esta, por sua vez, demanda que saibamos escutar tanto as palavras quanto aqueles a quem elas procuram descrever.</w:t>
      </w:r>
    </w:p>
    <w:p w14:paraId="6FFC672E" w14:textId="77777777" w:rsidR="0003312E" w:rsidRDefault="00000000">
      <w:pPr>
        <w:spacing w:after="0" w:line="360" w:lineRule="auto"/>
        <w:ind w:firstLine="709"/>
        <w:jc w:val="both"/>
        <w:rPr>
          <w:rFonts w:ascii="Times New Roman" w:hAnsi="Times New Roman" w:cs="Times New Roman"/>
          <w:b/>
          <w:bCs/>
          <w:sz w:val="24"/>
        </w:rPr>
      </w:pPr>
      <w:r>
        <w:rPr>
          <w:rFonts w:ascii="Times New Roman" w:hAnsi="Times New Roman" w:cs="Times New Roman"/>
          <w:b/>
          <w:bCs/>
          <w:sz w:val="24"/>
        </w:rPr>
        <w:lastRenderedPageBreak/>
        <w:t>A Jornada das Palavras: Do Mito à Neurociência</w:t>
      </w:r>
    </w:p>
    <w:p w14:paraId="410F3D8E" w14:textId="77777777" w:rsidR="0003312E" w:rsidRDefault="00000000">
      <w:pPr>
        <w:spacing w:after="0" w:line="360" w:lineRule="auto"/>
        <w:ind w:firstLine="709"/>
        <w:jc w:val="both"/>
        <w:rPr>
          <w:rFonts w:ascii="Times New Roman" w:hAnsi="Times New Roman" w:cs="Times New Roman"/>
          <w:sz w:val="24"/>
        </w:rPr>
      </w:pPr>
      <w:r>
        <w:rPr>
          <w:rFonts w:ascii="Times New Roman" w:hAnsi="Times New Roman" w:cs="Times New Roman"/>
          <w:sz w:val="24"/>
        </w:rPr>
        <w:t>Cada termo explorado ao longo desta obra funciona como ponte entre eras. A hipnose (do grego </w:t>
      </w:r>
      <w:proofErr w:type="spellStart"/>
      <w:r>
        <w:rPr>
          <w:rFonts w:ascii="Times New Roman" w:hAnsi="Times New Roman" w:cs="Times New Roman"/>
          <w:i/>
          <w:iCs/>
          <w:sz w:val="24"/>
        </w:rPr>
        <w:t>hýpnos</w:t>
      </w:r>
      <w:proofErr w:type="spellEnd"/>
      <w:r>
        <w:rPr>
          <w:rFonts w:ascii="Times New Roman" w:hAnsi="Times New Roman" w:cs="Times New Roman"/>
          <w:sz w:val="24"/>
        </w:rPr>
        <w:t xml:space="preserve">, "sono"), por exemplo, evoluiu de ritual xamânico a ferramenta terapêutica, passando pelo mesmerismo e o teatro de </w:t>
      </w:r>
      <w:proofErr w:type="spellStart"/>
      <w:r>
        <w:rPr>
          <w:rFonts w:ascii="Times New Roman" w:hAnsi="Times New Roman" w:cs="Times New Roman"/>
          <w:sz w:val="24"/>
        </w:rPr>
        <w:t>Charcot</w:t>
      </w:r>
      <w:proofErr w:type="spellEnd"/>
      <w:r>
        <w:rPr>
          <w:rFonts w:ascii="Times New Roman" w:hAnsi="Times New Roman" w:cs="Times New Roman"/>
          <w:sz w:val="24"/>
        </w:rPr>
        <w:t xml:space="preserve">. Hoje, a neuroimagem revela que o "transe" hipnótico ativa redes cerebrais </w:t>
      </w:r>
      <w:proofErr w:type="gramStart"/>
      <w:r>
        <w:rPr>
          <w:rFonts w:ascii="Times New Roman" w:hAnsi="Times New Roman" w:cs="Times New Roman"/>
          <w:sz w:val="24"/>
        </w:rPr>
        <w:t>específicas  -</w:t>
      </w:r>
      <w:proofErr w:type="gramEnd"/>
      <w:r>
        <w:rPr>
          <w:rFonts w:ascii="Times New Roman" w:hAnsi="Times New Roman" w:cs="Times New Roman"/>
          <w:sz w:val="24"/>
        </w:rPr>
        <w:t xml:space="preserve">  sem, contudo, esvaziar o termo da sua carga histórica. O delírio (do latim </w:t>
      </w:r>
      <w:proofErr w:type="spellStart"/>
      <w:r>
        <w:rPr>
          <w:rFonts w:ascii="Times New Roman" w:hAnsi="Times New Roman" w:cs="Times New Roman"/>
          <w:i/>
          <w:iCs/>
          <w:sz w:val="24"/>
        </w:rPr>
        <w:t>delirare</w:t>
      </w:r>
      <w:proofErr w:type="spellEnd"/>
      <w:r>
        <w:rPr>
          <w:rFonts w:ascii="Times New Roman" w:hAnsi="Times New Roman" w:cs="Times New Roman"/>
          <w:sz w:val="24"/>
        </w:rPr>
        <w:t xml:space="preserve">, "sair do sulco"), outrora a loucura dos oráculos na Grécia antiga, é hoje sintoma de demência ou psicose. Mas e os delírios criativos, como os de Van Gogh ou Nietzsche? </w:t>
      </w:r>
      <w:proofErr w:type="spellStart"/>
      <w:r>
        <w:rPr>
          <w:rFonts w:ascii="Times New Roman" w:hAnsi="Times New Roman" w:cs="Times New Roman"/>
          <w:sz w:val="24"/>
        </w:rPr>
        <w:t>Temkin</w:t>
      </w:r>
      <w:proofErr w:type="spellEnd"/>
      <w:r>
        <w:rPr>
          <w:rFonts w:ascii="Times New Roman" w:hAnsi="Times New Roman" w:cs="Times New Roman"/>
          <w:sz w:val="24"/>
        </w:rPr>
        <w:t xml:space="preserve"> lembraria que até a "irracionalidade" possui uma </w:t>
      </w:r>
      <w:proofErr w:type="gramStart"/>
      <w:r>
        <w:rPr>
          <w:rFonts w:ascii="Times New Roman" w:hAnsi="Times New Roman" w:cs="Times New Roman"/>
          <w:sz w:val="24"/>
        </w:rPr>
        <w:t>lógica  -</w:t>
      </w:r>
      <w:proofErr w:type="gramEnd"/>
      <w:r>
        <w:rPr>
          <w:rFonts w:ascii="Times New Roman" w:hAnsi="Times New Roman" w:cs="Times New Roman"/>
          <w:sz w:val="24"/>
        </w:rPr>
        <w:t xml:space="preserve">  desde que saibamos escutá-la. O êxtase (do grego </w:t>
      </w:r>
      <w:proofErr w:type="spellStart"/>
      <w:r>
        <w:rPr>
          <w:rFonts w:ascii="Times New Roman" w:hAnsi="Times New Roman" w:cs="Times New Roman"/>
          <w:i/>
          <w:iCs/>
          <w:sz w:val="24"/>
        </w:rPr>
        <w:t>ékstasis</w:t>
      </w:r>
      <w:proofErr w:type="spellEnd"/>
      <w:r>
        <w:rPr>
          <w:rFonts w:ascii="Times New Roman" w:hAnsi="Times New Roman" w:cs="Times New Roman"/>
          <w:sz w:val="24"/>
        </w:rPr>
        <w:t xml:space="preserve">, "estar fora de si"), dos mistérios dionisíacos às experiências místicas de Santa Teresa, até as pesquisas contemporâneas com </w:t>
      </w:r>
      <w:proofErr w:type="spellStart"/>
      <w:r>
        <w:rPr>
          <w:rFonts w:ascii="Times New Roman" w:hAnsi="Times New Roman" w:cs="Times New Roman"/>
          <w:sz w:val="24"/>
        </w:rPr>
        <w:t>psilocibina</w:t>
      </w:r>
      <w:proofErr w:type="spellEnd"/>
      <w:r>
        <w:rPr>
          <w:rFonts w:ascii="Times New Roman" w:hAnsi="Times New Roman" w:cs="Times New Roman"/>
          <w:sz w:val="24"/>
        </w:rPr>
        <w:t xml:space="preserve">, mostra como a neurociência confirma o que os místicos sempre souberam: a transcendência tem morada </w:t>
      </w:r>
      <w:proofErr w:type="gramStart"/>
      <w:r>
        <w:rPr>
          <w:rFonts w:ascii="Times New Roman" w:hAnsi="Times New Roman" w:cs="Times New Roman"/>
          <w:sz w:val="24"/>
        </w:rPr>
        <w:t>neural  -</w:t>
      </w:r>
      <w:proofErr w:type="gramEnd"/>
      <w:r>
        <w:rPr>
          <w:rFonts w:ascii="Times New Roman" w:hAnsi="Times New Roman" w:cs="Times New Roman"/>
          <w:sz w:val="24"/>
        </w:rPr>
        <w:t xml:space="preserve">  o que não a torna menos sagrada. Como observou </w:t>
      </w:r>
      <w:proofErr w:type="spellStart"/>
      <w:r>
        <w:rPr>
          <w:rFonts w:ascii="Times New Roman" w:hAnsi="Times New Roman" w:cs="Times New Roman"/>
          <w:sz w:val="24"/>
        </w:rPr>
        <w:t>Temkin</w:t>
      </w:r>
      <w:proofErr w:type="spellEnd"/>
      <w:r>
        <w:rPr>
          <w:rFonts w:ascii="Times New Roman" w:hAnsi="Times New Roman" w:cs="Times New Roman"/>
          <w:sz w:val="24"/>
        </w:rPr>
        <w:t>, "as palavras médicas são janelas não só para o corpo, mas para a alma de uma cultura".</w:t>
      </w:r>
    </w:p>
    <w:p w14:paraId="00B95585" w14:textId="77777777" w:rsidR="0003312E" w:rsidRDefault="0003312E">
      <w:pPr>
        <w:spacing w:after="0" w:line="360" w:lineRule="auto"/>
        <w:ind w:firstLine="709"/>
        <w:jc w:val="both"/>
        <w:rPr>
          <w:rFonts w:ascii="Times New Roman" w:hAnsi="Times New Roman" w:cs="Times New Roman"/>
          <w:sz w:val="24"/>
        </w:rPr>
      </w:pPr>
    </w:p>
    <w:p w14:paraId="61127621" w14:textId="77777777" w:rsidR="0003312E" w:rsidRDefault="00000000">
      <w:pPr>
        <w:spacing w:after="0" w:line="360" w:lineRule="auto"/>
        <w:ind w:firstLine="709"/>
        <w:jc w:val="both"/>
        <w:rPr>
          <w:rFonts w:ascii="Times New Roman" w:hAnsi="Times New Roman" w:cs="Times New Roman"/>
          <w:b/>
          <w:bCs/>
          <w:sz w:val="24"/>
        </w:rPr>
      </w:pPr>
      <w:r>
        <w:rPr>
          <w:rFonts w:ascii="Times New Roman" w:hAnsi="Times New Roman" w:cs="Times New Roman"/>
          <w:b/>
          <w:bCs/>
          <w:sz w:val="24"/>
        </w:rPr>
        <w:t xml:space="preserve">Um Convite à </w:t>
      </w:r>
      <w:proofErr w:type="spellStart"/>
      <w:r>
        <w:rPr>
          <w:rFonts w:ascii="Times New Roman" w:hAnsi="Times New Roman" w:cs="Times New Roman"/>
          <w:b/>
          <w:bCs/>
          <w:sz w:val="24"/>
        </w:rPr>
        <w:t>Neuroetimologia</w:t>
      </w:r>
      <w:proofErr w:type="spellEnd"/>
      <w:r>
        <w:rPr>
          <w:rFonts w:ascii="Times New Roman" w:hAnsi="Times New Roman" w:cs="Times New Roman"/>
          <w:b/>
          <w:bCs/>
          <w:sz w:val="24"/>
        </w:rPr>
        <w:t xml:space="preserve"> Aplicada</w:t>
      </w:r>
    </w:p>
    <w:p w14:paraId="1C4AAD47" w14:textId="77777777" w:rsidR="0003312E" w:rsidRDefault="00000000">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Este epílogo não se oferece como conclusão, mas como convite à ação. </w:t>
      </w:r>
      <w:proofErr w:type="spellStart"/>
      <w:r>
        <w:rPr>
          <w:rFonts w:ascii="Times New Roman" w:hAnsi="Times New Roman" w:cs="Times New Roman"/>
          <w:sz w:val="24"/>
        </w:rPr>
        <w:t>Temkin</w:t>
      </w:r>
      <w:proofErr w:type="spellEnd"/>
      <w:r>
        <w:rPr>
          <w:rFonts w:ascii="Times New Roman" w:hAnsi="Times New Roman" w:cs="Times New Roman"/>
          <w:sz w:val="24"/>
        </w:rPr>
        <w:t xml:space="preserve"> e Sacks legaram-nos a noção de que a medicina é tão humana quanto científica, e que suas palavras são, também, instrumentos éticos. Que tal, então, cultivarmos o hábito da </w:t>
      </w:r>
      <w:proofErr w:type="spellStart"/>
      <w:r>
        <w:rPr>
          <w:rFonts w:ascii="Times New Roman" w:hAnsi="Times New Roman" w:cs="Times New Roman"/>
          <w:sz w:val="24"/>
        </w:rPr>
        <w:t>neuroetimologia</w:t>
      </w:r>
      <w:proofErr w:type="spellEnd"/>
      <w:r>
        <w:rPr>
          <w:rFonts w:ascii="Times New Roman" w:hAnsi="Times New Roman" w:cs="Times New Roman"/>
          <w:sz w:val="24"/>
        </w:rPr>
        <w:t xml:space="preserve"> crítica? Em cada consulta, cada aula, cada conversa, poderíamos indagar: De onde vem esta palavra? (e.g., "psicopata" transporta o peso da </w:t>
      </w:r>
      <w:r>
        <w:rPr>
          <w:rFonts w:ascii="Times New Roman" w:hAnsi="Times New Roman" w:cs="Times New Roman"/>
          <w:i/>
          <w:iCs/>
          <w:sz w:val="24"/>
        </w:rPr>
        <w:t>psique</w:t>
      </w:r>
      <w:r>
        <w:rPr>
          <w:rFonts w:ascii="Times New Roman" w:hAnsi="Times New Roman" w:cs="Times New Roman"/>
          <w:sz w:val="24"/>
        </w:rPr>
        <w:t> grega e do </w:t>
      </w:r>
      <w:proofErr w:type="spellStart"/>
      <w:proofErr w:type="gramStart"/>
      <w:r>
        <w:rPr>
          <w:rFonts w:ascii="Times New Roman" w:hAnsi="Times New Roman" w:cs="Times New Roman"/>
          <w:i/>
          <w:iCs/>
          <w:sz w:val="24"/>
        </w:rPr>
        <w:t>pathos</w:t>
      </w:r>
      <w:proofErr w:type="spellEnd"/>
      <w:r>
        <w:rPr>
          <w:rFonts w:ascii="Times New Roman" w:hAnsi="Times New Roman" w:cs="Times New Roman"/>
          <w:sz w:val="24"/>
        </w:rPr>
        <w:t>  -</w:t>
      </w:r>
      <w:proofErr w:type="gramEnd"/>
      <w:r>
        <w:rPr>
          <w:rFonts w:ascii="Times New Roman" w:hAnsi="Times New Roman" w:cs="Times New Roman"/>
          <w:sz w:val="24"/>
        </w:rPr>
        <w:t xml:space="preserve">  a paixão-doença. Usá-la sem cuidado é perpetuar estigmas.); </w:t>
      </w:r>
      <w:proofErr w:type="gramStart"/>
      <w:r>
        <w:rPr>
          <w:rFonts w:ascii="Times New Roman" w:hAnsi="Times New Roman" w:cs="Times New Roman"/>
          <w:sz w:val="24"/>
        </w:rPr>
        <w:t>Que</w:t>
      </w:r>
      <w:proofErr w:type="gramEnd"/>
      <w:r>
        <w:rPr>
          <w:rFonts w:ascii="Times New Roman" w:hAnsi="Times New Roman" w:cs="Times New Roman"/>
          <w:sz w:val="24"/>
        </w:rPr>
        <w:t xml:space="preserve"> histórias ela oculta? (e.g., "histeria" não é um termo ingênuo; lembra-nos como a medicina </w:t>
      </w:r>
      <w:proofErr w:type="spellStart"/>
      <w:r>
        <w:rPr>
          <w:rFonts w:ascii="Times New Roman" w:hAnsi="Times New Roman" w:cs="Times New Roman"/>
          <w:sz w:val="24"/>
        </w:rPr>
        <w:t>patologizou</w:t>
      </w:r>
      <w:proofErr w:type="spellEnd"/>
      <w:r>
        <w:rPr>
          <w:rFonts w:ascii="Times New Roman" w:hAnsi="Times New Roman" w:cs="Times New Roman"/>
          <w:sz w:val="24"/>
        </w:rPr>
        <w:t xml:space="preserve"> o corpo feminino.); </w:t>
      </w:r>
      <w:proofErr w:type="gramStart"/>
      <w:r>
        <w:rPr>
          <w:rFonts w:ascii="Times New Roman" w:hAnsi="Times New Roman" w:cs="Times New Roman"/>
          <w:sz w:val="24"/>
        </w:rPr>
        <w:t>Como</w:t>
      </w:r>
      <w:proofErr w:type="gramEnd"/>
      <w:r>
        <w:rPr>
          <w:rFonts w:ascii="Times New Roman" w:hAnsi="Times New Roman" w:cs="Times New Roman"/>
          <w:sz w:val="24"/>
        </w:rPr>
        <w:t xml:space="preserve"> posso empregá-la com maior consciência? (e.g., substituir "depressivo" por "pessoa em sofrimento psíquico" pode restituir dignidade.). Nas palavras de </w:t>
      </w:r>
      <w:proofErr w:type="spellStart"/>
      <w:r>
        <w:rPr>
          <w:rFonts w:ascii="Times New Roman" w:hAnsi="Times New Roman" w:cs="Times New Roman"/>
          <w:sz w:val="24"/>
        </w:rPr>
        <w:t>Temkin</w:t>
      </w:r>
      <w:proofErr w:type="spellEnd"/>
      <w:r>
        <w:rPr>
          <w:rFonts w:ascii="Times New Roman" w:hAnsi="Times New Roman" w:cs="Times New Roman"/>
          <w:sz w:val="24"/>
        </w:rPr>
        <w:t xml:space="preserve">, "as palavras não são neutras; carregam o peso das escolhas </w:t>
      </w:r>
      <w:proofErr w:type="gramStart"/>
      <w:r>
        <w:rPr>
          <w:rFonts w:ascii="Times New Roman" w:hAnsi="Times New Roman" w:cs="Times New Roman"/>
          <w:sz w:val="24"/>
        </w:rPr>
        <w:t>passadas  -</w:t>
      </w:r>
      <w:proofErr w:type="gramEnd"/>
      <w:r>
        <w:rPr>
          <w:rFonts w:ascii="Times New Roman" w:hAnsi="Times New Roman" w:cs="Times New Roman"/>
          <w:sz w:val="24"/>
        </w:rPr>
        <w:t xml:space="preserve">  e das nossas".</w:t>
      </w:r>
    </w:p>
    <w:p w14:paraId="77E64133" w14:textId="77777777" w:rsidR="0003312E" w:rsidRDefault="0003312E">
      <w:pPr>
        <w:spacing w:after="0" w:line="360" w:lineRule="auto"/>
        <w:ind w:firstLine="709"/>
        <w:jc w:val="both"/>
        <w:rPr>
          <w:rFonts w:ascii="Times New Roman" w:hAnsi="Times New Roman" w:cs="Times New Roman"/>
          <w:sz w:val="24"/>
        </w:rPr>
      </w:pPr>
    </w:p>
    <w:p w14:paraId="57603B82" w14:textId="77777777" w:rsidR="0003312E" w:rsidRDefault="00000000">
      <w:pPr>
        <w:pStyle w:val="NormalWeb"/>
        <w:shd w:val="clear" w:color="auto" w:fill="FFFFFF"/>
        <w:spacing w:beforeAutospacing="0" w:after="0" w:afterAutospacing="0" w:line="360" w:lineRule="auto"/>
        <w:ind w:firstLineChars="125" w:firstLine="301"/>
        <w:jc w:val="both"/>
        <w:rPr>
          <w:rFonts w:eastAsia="Segoe UI"/>
          <w:color w:val="0F1115"/>
          <w:sz w:val="24"/>
          <w:lang w:val="pt-BR"/>
        </w:rPr>
      </w:pPr>
      <w:r>
        <w:rPr>
          <w:rStyle w:val="Forte"/>
          <w:rFonts w:eastAsia="Segoe UI"/>
          <w:color w:val="0F1115"/>
          <w:sz w:val="24"/>
          <w:shd w:val="clear" w:color="auto" w:fill="FFFFFF"/>
          <w:lang w:val="pt-BR"/>
        </w:rPr>
        <w:t>O Início da Jornada</w:t>
      </w:r>
    </w:p>
    <w:p w14:paraId="21D7DF57" w14:textId="77777777" w:rsidR="0003312E" w:rsidRDefault="00000000">
      <w:pPr>
        <w:pStyle w:val="NormalWeb"/>
        <w:shd w:val="clear" w:color="auto" w:fill="FFFFFF"/>
        <w:spacing w:beforeAutospacing="0" w:after="0" w:afterAutospacing="0" w:line="360" w:lineRule="auto"/>
        <w:ind w:firstLineChars="125" w:firstLine="300"/>
        <w:jc w:val="both"/>
        <w:rPr>
          <w:rFonts w:eastAsia="Segoe UI"/>
          <w:color w:val="0F1115"/>
          <w:sz w:val="24"/>
          <w:lang w:val="pt-BR"/>
        </w:rPr>
      </w:pPr>
      <w:r>
        <w:rPr>
          <w:rFonts w:eastAsia="Segoe UI"/>
          <w:color w:val="0F1115"/>
          <w:sz w:val="24"/>
          <w:shd w:val="clear" w:color="auto" w:fill="FFFFFF"/>
          <w:lang w:val="pt-BR"/>
        </w:rPr>
        <w:t xml:space="preserve">Se imaginarmos este livro como um mapa, é importante lembrar que estamos apenas cruzando seus primeiros contornos. A </w:t>
      </w:r>
      <w:proofErr w:type="spellStart"/>
      <w:r>
        <w:rPr>
          <w:rFonts w:eastAsia="Segoe UI"/>
          <w:color w:val="0F1115"/>
          <w:sz w:val="24"/>
          <w:shd w:val="clear" w:color="auto" w:fill="FFFFFF"/>
          <w:lang w:val="pt-BR"/>
        </w:rPr>
        <w:t>neuroetimologia</w:t>
      </w:r>
      <w:proofErr w:type="spellEnd"/>
      <w:r>
        <w:rPr>
          <w:rFonts w:eastAsia="Segoe UI"/>
          <w:color w:val="0F1115"/>
          <w:sz w:val="24"/>
          <w:shd w:val="clear" w:color="auto" w:fill="FFFFFF"/>
          <w:lang w:val="pt-BR"/>
        </w:rPr>
        <w:t xml:space="preserve"> nos convida a um exercício singular: ser investigadores do tempo, ao desvendar as camadas históricas das palavras; ser poetas sensíveis, ao reconhecer sua beleza e seus perigos; e, finalmente, ser clínicos éticos, ao utilizá-las não para rotular, mas para compreender e curar.</w:t>
      </w:r>
    </w:p>
    <w:p w14:paraId="719FE2C5" w14:textId="77777777" w:rsidR="0003312E" w:rsidRDefault="00000000">
      <w:pPr>
        <w:pStyle w:val="NormalWeb"/>
        <w:shd w:val="clear" w:color="auto" w:fill="FFFFFF"/>
        <w:spacing w:beforeAutospacing="0" w:after="0" w:afterAutospacing="0" w:line="360" w:lineRule="auto"/>
        <w:ind w:firstLineChars="125" w:firstLine="300"/>
        <w:jc w:val="both"/>
        <w:rPr>
          <w:rFonts w:eastAsia="Segoe UI"/>
          <w:color w:val="0F1115"/>
          <w:sz w:val="24"/>
          <w:lang w:val="pt-BR"/>
        </w:rPr>
      </w:pPr>
      <w:r>
        <w:rPr>
          <w:rFonts w:eastAsia="Segoe UI"/>
          <w:color w:val="0F1115"/>
          <w:sz w:val="24"/>
          <w:shd w:val="clear" w:color="auto" w:fill="FFFFFF"/>
          <w:lang w:val="pt-BR"/>
        </w:rPr>
        <w:lastRenderedPageBreak/>
        <w:t>Como bem observou Edmundo Pellegrino, "a medicina é a mais humana das ciências e a mais científica das humanidades". A este pensamento, ousamos acrescentar: é também uma das disciplinas mais profundamente marcadas pela linguagem.</w:t>
      </w:r>
    </w:p>
    <w:p w14:paraId="1DCB9B6D" w14:textId="77777777" w:rsidR="0003312E" w:rsidRDefault="00000000">
      <w:pPr>
        <w:pStyle w:val="NormalWeb"/>
        <w:shd w:val="clear" w:color="auto" w:fill="FFFFFF"/>
        <w:spacing w:beforeAutospacing="0" w:after="0" w:afterAutospacing="0" w:line="360" w:lineRule="auto"/>
        <w:ind w:firstLineChars="125" w:firstLine="300"/>
        <w:jc w:val="both"/>
        <w:rPr>
          <w:rFonts w:eastAsia="Segoe UI"/>
          <w:color w:val="0F1115"/>
          <w:sz w:val="24"/>
          <w:shd w:val="clear" w:color="auto" w:fill="FFFFFF"/>
          <w:lang w:val="pt-BR"/>
        </w:rPr>
      </w:pPr>
      <w:r>
        <w:rPr>
          <w:rFonts w:eastAsia="Segoe UI"/>
          <w:color w:val="0F1115"/>
          <w:sz w:val="24"/>
          <w:shd w:val="clear" w:color="auto" w:fill="FFFFFF"/>
          <w:lang w:val="pt-BR"/>
        </w:rPr>
        <w:t>Que possamos, portanto, honrar este duplo legado: escutar atentamente as palavras, para assim escutar verdadeiramente as pessoas que buscam, através delas, nomear seu sofrimento e sua história.</w:t>
      </w:r>
    </w:p>
    <w:p w14:paraId="271661D1" w14:textId="77777777" w:rsidR="0003312E" w:rsidRPr="000D7094" w:rsidRDefault="0003312E">
      <w:pPr>
        <w:pStyle w:val="NormalWeb"/>
        <w:shd w:val="clear" w:color="auto" w:fill="FFFFFF"/>
        <w:tabs>
          <w:tab w:val="left" w:pos="425"/>
        </w:tabs>
        <w:spacing w:beforeAutospacing="0" w:after="0" w:afterAutospacing="0" w:line="360" w:lineRule="auto"/>
        <w:jc w:val="both"/>
        <w:rPr>
          <w:rFonts w:eastAsia="Segoe UI"/>
          <w:sz w:val="20"/>
          <w:szCs w:val="20"/>
          <w:lang w:val="pt-BR"/>
        </w:rPr>
      </w:pPr>
    </w:p>
    <w:p w14:paraId="20B351C4" w14:textId="77777777" w:rsidR="0003312E" w:rsidRPr="000D7094" w:rsidRDefault="0003312E">
      <w:pPr>
        <w:pStyle w:val="NormalWeb"/>
        <w:shd w:val="clear" w:color="auto" w:fill="FFFFFF"/>
        <w:tabs>
          <w:tab w:val="left" w:pos="425"/>
        </w:tabs>
        <w:spacing w:beforeAutospacing="0" w:after="0" w:afterAutospacing="0" w:line="360" w:lineRule="auto"/>
        <w:jc w:val="both"/>
        <w:rPr>
          <w:rFonts w:eastAsia="Segoe UI"/>
          <w:sz w:val="20"/>
          <w:szCs w:val="20"/>
          <w:lang w:val="pt-BR"/>
        </w:rPr>
      </w:pPr>
    </w:p>
    <w:p w14:paraId="1A548095" w14:textId="77777777" w:rsidR="0003312E" w:rsidRPr="000D7094" w:rsidRDefault="0003312E">
      <w:pPr>
        <w:pStyle w:val="NormalWeb"/>
        <w:shd w:val="clear" w:color="auto" w:fill="FFFFFF"/>
        <w:tabs>
          <w:tab w:val="left" w:pos="425"/>
        </w:tabs>
        <w:spacing w:beforeAutospacing="0" w:after="0" w:afterAutospacing="0" w:line="360" w:lineRule="auto"/>
        <w:jc w:val="both"/>
        <w:rPr>
          <w:rFonts w:eastAsia="Segoe UI"/>
          <w:sz w:val="20"/>
          <w:szCs w:val="20"/>
          <w:lang w:val="pt-BR"/>
        </w:rPr>
      </w:pPr>
    </w:p>
    <w:p w14:paraId="36D58655" w14:textId="77777777" w:rsidR="0003312E" w:rsidRPr="000D7094" w:rsidRDefault="0003312E">
      <w:pPr>
        <w:pStyle w:val="NormalWeb"/>
        <w:shd w:val="clear" w:color="auto" w:fill="FFFFFF"/>
        <w:tabs>
          <w:tab w:val="left" w:pos="425"/>
        </w:tabs>
        <w:spacing w:beforeAutospacing="0" w:after="0" w:afterAutospacing="0" w:line="360" w:lineRule="auto"/>
        <w:jc w:val="both"/>
        <w:rPr>
          <w:rFonts w:eastAsia="Segoe UI"/>
          <w:sz w:val="20"/>
          <w:szCs w:val="20"/>
          <w:lang w:val="pt-BR"/>
        </w:rPr>
      </w:pPr>
    </w:p>
    <w:p w14:paraId="388F392E" w14:textId="77777777" w:rsidR="0003312E" w:rsidRDefault="00000000">
      <w:pPr>
        <w:rPr>
          <w:rFonts w:eastAsia="Segoe UI"/>
          <w:b/>
          <w:bCs/>
          <w:sz w:val="20"/>
          <w:szCs w:val="20"/>
        </w:rPr>
      </w:pPr>
      <w:r>
        <w:rPr>
          <w:rFonts w:eastAsia="Segoe UI"/>
          <w:b/>
          <w:bCs/>
          <w:sz w:val="20"/>
          <w:szCs w:val="20"/>
        </w:rPr>
        <w:br w:type="page"/>
      </w:r>
    </w:p>
    <w:p w14:paraId="69916C6E" w14:textId="77777777" w:rsidR="0003312E" w:rsidRDefault="00000000">
      <w:pPr>
        <w:pStyle w:val="NormalWeb"/>
        <w:shd w:val="clear" w:color="auto" w:fill="FFFFFF"/>
        <w:tabs>
          <w:tab w:val="left" w:pos="425"/>
        </w:tabs>
        <w:spacing w:beforeAutospacing="0" w:after="0" w:afterAutospacing="0" w:line="360" w:lineRule="auto"/>
        <w:jc w:val="both"/>
        <w:rPr>
          <w:rFonts w:eastAsia="Segoe UI"/>
          <w:b/>
          <w:bCs/>
          <w:sz w:val="20"/>
          <w:szCs w:val="20"/>
          <w:lang w:val="pt-BR"/>
        </w:rPr>
      </w:pPr>
      <w:r>
        <w:rPr>
          <w:rFonts w:eastAsia="Segoe UI"/>
          <w:b/>
          <w:bCs/>
          <w:sz w:val="20"/>
          <w:szCs w:val="20"/>
          <w:lang w:val="pt-BR"/>
        </w:rPr>
        <w:lastRenderedPageBreak/>
        <w:t>REFERÊNCIAS</w:t>
      </w:r>
    </w:p>
    <w:p w14:paraId="0AF9A62F" w14:textId="77777777" w:rsidR="0003312E" w:rsidRDefault="00000000">
      <w:pPr>
        <w:pStyle w:val="NormalWeb"/>
        <w:shd w:val="clear" w:color="auto" w:fill="FFFFFF"/>
        <w:spacing w:beforeAutospacing="0" w:after="0" w:afterAutospacing="0" w:line="360" w:lineRule="auto"/>
        <w:ind w:firstLine="709"/>
        <w:jc w:val="both"/>
        <w:rPr>
          <w:b/>
          <w:bCs/>
          <w:sz w:val="24"/>
          <w:lang w:val="pt-BR"/>
        </w:rPr>
      </w:pPr>
      <w:r>
        <w:rPr>
          <w:b/>
          <w:bCs/>
          <w:sz w:val="24"/>
          <w:lang w:val="pt-BR"/>
        </w:rPr>
        <w:t>Capitulo 0</w:t>
      </w:r>
    </w:p>
    <w:p w14:paraId="266913F8" w14:textId="77777777" w:rsidR="0003312E" w:rsidRDefault="00000000">
      <w:pPr>
        <w:pStyle w:val="NormalWeb"/>
        <w:numPr>
          <w:ilvl w:val="0"/>
          <w:numId w:val="4"/>
        </w:numPr>
        <w:spacing w:beforeAutospacing="0" w:after="0" w:afterAutospacing="0" w:line="240" w:lineRule="auto"/>
        <w:jc w:val="both"/>
        <w:rPr>
          <w:sz w:val="20"/>
          <w:szCs w:val="20"/>
        </w:rPr>
      </w:pPr>
      <w:r>
        <w:rPr>
          <w:sz w:val="20"/>
          <w:szCs w:val="20"/>
          <w:lang w:val="pt-BR"/>
        </w:rPr>
        <w:t>AGUIAR, Thiago Borges de; PETERLEVITZ, Augusto. As etimologias de Isidoro de Sevilha e a transmissão da cultura greco-romana na Espanha Visigoda. Acta Educ., Maringá, v. 41, e48139, jan. 2019. Disponível em: </w:t>
      </w:r>
      <w:hyperlink r:id="rId37" w:tgtFrame="_blank" w:history="1">
        <w:r>
          <w:rPr>
            <w:rStyle w:val="Hyperlink"/>
            <w:color w:val="auto"/>
            <w:sz w:val="20"/>
            <w:szCs w:val="20"/>
            <w:lang w:val="pt-BR"/>
          </w:rPr>
          <w:t>http://educa.fcc.org.br/scielo.php?script=sci_arttext&amp;pid=S2178-52012019000100127&amp;lng=pt&amp;nrm=iso</w:t>
        </w:r>
      </w:hyperlink>
      <w:r>
        <w:rPr>
          <w:sz w:val="20"/>
          <w:szCs w:val="20"/>
          <w:lang w:val="pt-BR"/>
        </w:rPr>
        <w:t xml:space="preserve">.  Acesso em: 1o out. 2025. </w:t>
      </w:r>
    </w:p>
    <w:p w14:paraId="282FE218" w14:textId="77777777" w:rsidR="0003312E" w:rsidRDefault="00000000">
      <w:pPr>
        <w:pStyle w:val="NormalWeb"/>
        <w:numPr>
          <w:ilvl w:val="0"/>
          <w:numId w:val="4"/>
        </w:numPr>
        <w:spacing w:beforeAutospacing="0" w:after="0" w:afterAutospacing="0" w:line="240" w:lineRule="auto"/>
        <w:jc w:val="both"/>
        <w:rPr>
          <w:sz w:val="20"/>
          <w:szCs w:val="20"/>
        </w:rPr>
      </w:pPr>
      <w:r>
        <w:rPr>
          <w:sz w:val="20"/>
          <w:szCs w:val="20"/>
        </w:rPr>
        <w:t xml:space="preserve">ATHANASIADIS, Leonidas. Greek mythology and medical and psychiatric terminology. Psychiatric Bulletin, v. 18, n. 12, p. 779 - 781, 1994. </w:t>
      </w:r>
      <w:proofErr w:type="spellStart"/>
      <w:r>
        <w:rPr>
          <w:sz w:val="20"/>
          <w:szCs w:val="20"/>
        </w:rPr>
        <w:t>Disponível</w:t>
      </w:r>
      <w:proofErr w:type="spellEnd"/>
      <w:r>
        <w:rPr>
          <w:sz w:val="20"/>
          <w:szCs w:val="20"/>
        </w:rPr>
        <w:t xml:space="preserve"> em: </w:t>
      </w:r>
      <w:hyperlink r:id="rId38" w:tgtFrame="_blank" w:history="1">
        <w:r>
          <w:rPr>
            <w:rStyle w:val="Hyperlink"/>
            <w:color w:val="auto"/>
            <w:sz w:val="20"/>
            <w:szCs w:val="20"/>
          </w:rPr>
          <w:t>https://pdfs.semanticscholar.org/69d8/280764c91ce1d4c793a57fd505c22d2eccde.pdf</w:t>
        </w:r>
      </w:hyperlink>
      <w:r>
        <w:rPr>
          <w:sz w:val="20"/>
          <w:szCs w:val="20"/>
        </w:rPr>
        <w:t xml:space="preserve">.  </w:t>
      </w:r>
      <w:r>
        <w:rPr>
          <w:sz w:val="20"/>
          <w:szCs w:val="20"/>
          <w:lang w:val="pt-BR"/>
        </w:rPr>
        <w:t xml:space="preserve">Acesso em: 1o out. 2025. </w:t>
      </w:r>
    </w:p>
    <w:p w14:paraId="500173C1" w14:textId="77777777" w:rsidR="0003312E" w:rsidRDefault="00000000">
      <w:pPr>
        <w:pStyle w:val="NormalWeb"/>
        <w:numPr>
          <w:ilvl w:val="0"/>
          <w:numId w:val="4"/>
        </w:numPr>
        <w:spacing w:beforeAutospacing="0" w:after="0" w:afterAutospacing="0" w:line="240" w:lineRule="auto"/>
        <w:jc w:val="both"/>
        <w:rPr>
          <w:sz w:val="20"/>
          <w:szCs w:val="20"/>
        </w:rPr>
      </w:pPr>
      <w:r>
        <w:rPr>
          <w:sz w:val="20"/>
          <w:szCs w:val="20"/>
        </w:rPr>
        <w:t xml:space="preserve">BUJALKOVÁ, Mária. Are the methods to use historical lexicology (etymology) in contemporary medical terminology teaching reasonable? </w:t>
      </w:r>
      <w:r>
        <w:rPr>
          <w:sz w:val="20"/>
          <w:szCs w:val="20"/>
          <w:lang w:val="pt-BR"/>
        </w:rPr>
        <w:t xml:space="preserve">JAHR, v. 4, n. 1, p. 469 - 478, 2013. Disponível em: </w:t>
      </w:r>
      <w:hyperlink r:id="rId39" w:history="1">
        <w:r>
          <w:rPr>
            <w:rStyle w:val="Hyperlink"/>
            <w:color w:val="auto"/>
            <w:sz w:val="20"/>
            <w:szCs w:val="20"/>
            <w:lang w:val="pt-BR"/>
          </w:rPr>
          <w:t>https://doi.org/10.21860/J.10.1.7</w:t>
        </w:r>
      </w:hyperlink>
      <w:r>
        <w:rPr>
          <w:sz w:val="20"/>
          <w:szCs w:val="20"/>
          <w:lang w:val="pt-BR"/>
        </w:rPr>
        <w:t xml:space="preserve">. </w:t>
      </w:r>
      <w:proofErr w:type="spellStart"/>
      <w:r>
        <w:rPr>
          <w:sz w:val="20"/>
          <w:szCs w:val="20"/>
        </w:rPr>
        <w:t>Acesso</w:t>
      </w:r>
      <w:proofErr w:type="spellEnd"/>
      <w:r>
        <w:rPr>
          <w:sz w:val="20"/>
          <w:szCs w:val="20"/>
        </w:rPr>
        <w:t xml:space="preserve"> </w:t>
      </w:r>
      <w:proofErr w:type="spellStart"/>
      <w:r>
        <w:rPr>
          <w:sz w:val="20"/>
          <w:szCs w:val="20"/>
        </w:rPr>
        <w:t>em</w:t>
      </w:r>
      <w:proofErr w:type="spellEnd"/>
      <w:r>
        <w:rPr>
          <w:sz w:val="20"/>
          <w:szCs w:val="20"/>
        </w:rPr>
        <w:t>: 17 set. 2025.</w:t>
      </w:r>
    </w:p>
    <w:p w14:paraId="62C2A66D" w14:textId="77777777" w:rsidR="0003312E" w:rsidRDefault="00000000">
      <w:pPr>
        <w:pStyle w:val="NormalWeb"/>
        <w:numPr>
          <w:ilvl w:val="0"/>
          <w:numId w:val="4"/>
        </w:numPr>
        <w:spacing w:beforeAutospacing="0" w:after="0" w:afterAutospacing="0" w:line="240" w:lineRule="auto"/>
        <w:jc w:val="both"/>
        <w:rPr>
          <w:sz w:val="20"/>
          <w:szCs w:val="20"/>
          <w:lang w:val="pt-BR"/>
        </w:rPr>
      </w:pPr>
      <w:r>
        <w:rPr>
          <w:sz w:val="20"/>
          <w:szCs w:val="20"/>
          <w:lang w:val="pt-BR"/>
        </w:rPr>
        <w:t xml:space="preserve">CNRTL-CENTRE NATIONAL DE RESSOURCES TEXTUELLES ET LEXICALES. </w:t>
      </w:r>
      <w:proofErr w:type="spellStart"/>
      <w:r>
        <w:rPr>
          <w:sz w:val="20"/>
          <w:szCs w:val="20"/>
          <w:lang w:val="pt-BR"/>
        </w:rPr>
        <w:t>Trésor</w:t>
      </w:r>
      <w:proofErr w:type="spellEnd"/>
      <w:r>
        <w:rPr>
          <w:sz w:val="20"/>
          <w:szCs w:val="20"/>
          <w:lang w:val="pt-BR"/>
        </w:rPr>
        <w:t xml:space="preserve"> de </w:t>
      </w:r>
      <w:proofErr w:type="spellStart"/>
      <w:r>
        <w:rPr>
          <w:sz w:val="20"/>
          <w:szCs w:val="20"/>
          <w:lang w:val="pt-BR"/>
        </w:rPr>
        <w:t>la</w:t>
      </w:r>
      <w:proofErr w:type="spellEnd"/>
      <w:r>
        <w:rPr>
          <w:sz w:val="20"/>
          <w:szCs w:val="20"/>
          <w:lang w:val="pt-BR"/>
        </w:rPr>
        <w:t xml:space="preserve"> Langue Française </w:t>
      </w:r>
      <w:proofErr w:type="spellStart"/>
      <w:r>
        <w:rPr>
          <w:sz w:val="20"/>
          <w:szCs w:val="20"/>
          <w:lang w:val="pt-BR"/>
        </w:rPr>
        <w:t>informatisé</w:t>
      </w:r>
      <w:proofErr w:type="spellEnd"/>
      <w:r>
        <w:rPr>
          <w:sz w:val="20"/>
          <w:szCs w:val="20"/>
          <w:lang w:val="pt-BR"/>
        </w:rPr>
        <w:t>. Nancy: CNRS, 2012. Disponível em: </w:t>
      </w:r>
      <w:hyperlink r:id="rId40" w:tgtFrame="_blank" w:history="1">
        <w:r>
          <w:rPr>
            <w:rStyle w:val="Hyperlink"/>
            <w:color w:val="auto"/>
            <w:sz w:val="20"/>
            <w:szCs w:val="20"/>
            <w:lang w:val="pt-BR"/>
          </w:rPr>
          <w:t>https://www.cnrtl.fr/etymologie</w:t>
        </w:r>
      </w:hyperlink>
      <w:r>
        <w:rPr>
          <w:sz w:val="20"/>
          <w:szCs w:val="20"/>
          <w:lang w:val="pt-BR"/>
        </w:rPr>
        <w:t xml:space="preserve">.  Acesso em: 1o out. 2025. </w:t>
      </w:r>
    </w:p>
    <w:p w14:paraId="60779257" w14:textId="77777777" w:rsidR="0003312E" w:rsidRDefault="00000000">
      <w:pPr>
        <w:pStyle w:val="NormalWeb"/>
        <w:numPr>
          <w:ilvl w:val="0"/>
          <w:numId w:val="4"/>
        </w:numPr>
        <w:spacing w:beforeAutospacing="0" w:after="0" w:afterAutospacing="0" w:line="240" w:lineRule="auto"/>
        <w:jc w:val="both"/>
        <w:rPr>
          <w:sz w:val="20"/>
          <w:szCs w:val="20"/>
          <w:lang w:val="pt-BR"/>
        </w:rPr>
      </w:pPr>
      <w:r>
        <w:rPr>
          <w:sz w:val="20"/>
          <w:szCs w:val="20"/>
          <w:lang w:val="pt-BR"/>
        </w:rPr>
        <w:t>CUNHA, Antônio Geraldo da. Dicionário etimológico da língua portuguesa. 4. ed. Rio de Janeiro: Lexikon, 2010. Disponível em: </w:t>
      </w:r>
      <w:hyperlink r:id="rId41" w:tgtFrame="_blank" w:history="1">
        <w:r>
          <w:rPr>
            <w:rStyle w:val="Hyperlink"/>
            <w:color w:val="auto"/>
            <w:sz w:val="20"/>
            <w:szCs w:val="20"/>
            <w:lang w:val="pt-BR"/>
          </w:rPr>
          <w:t>https://www.dicionarioetimologico.com.br/</w:t>
        </w:r>
      </w:hyperlink>
      <w:r>
        <w:rPr>
          <w:sz w:val="20"/>
          <w:szCs w:val="20"/>
          <w:lang w:val="pt-BR"/>
        </w:rPr>
        <w:t xml:space="preserve">.  Acesso em: 1o out. 2025. </w:t>
      </w:r>
    </w:p>
    <w:p w14:paraId="6635FF47" w14:textId="77777777" w:rsidR="0003312E" w:rsidRDefault="00000000">
      <w:pPr>
        <w:pStyle w:val="NormalWeb"/>
        <w:numPr>
          <w:ilvl w:val="0"/>
          <w:numId w:val="4"/>
        </w:numPr>
        <w:spacing w:beforeAutospacing="0" w:after="0" w:afterAutospacing="0" w:line="240" w:lineRule="auto"/>
        <w:jc w:val="both"/>
        <w:rPr>
          <w:sz w:val="20"/>
          <w:szCs w:val="20"/>
          <w:lang w:val="pt-BR"/>
        </w:rPr>
      </w:pPr>
      <w:r>
        <w:rPr>
          <w:rFonts w:eastAsia="Times New Roman"/>
          <w:kern w:val="0"/>
          <w:sz w:val="20"/>
          <w:szCs w:val="20"/>
          <w:lang w:val="pt-BR" w:eastAsia="pt-BR"/>
          <w14:ligatures w14:val="none"/>
        </w:rPr>
        <w:t xml:space="preserve">DECEL - </w:t>
      </w:r>
      <w:proofErr w:type="spellStart"/>
      <w:r>
        <w:rPr>
          <w:rFonts w:eastAsia="Times New Roman"/>
          <w:kern w:val="0"/>
          <w:sz w:val="20"/>
          <w:szCs w:val="20"/>
          <w:lang w:val="pt-BR" w:eastAsia="pt-BR"/>
          <w14:ligatures w14:val="none"/>
        </w:rPr>
        <w:t>Diccionario</w:t>
      </w:r>
      <w:proofErr w:type="spellEnd"/>
      <w:r>
        <w:rPr>
          <w:rFonts w:eastAsia="Times New Roman"/>
          <w:kern w:val="0"/>
          <w:sz w:val="20"/>
          <w:szCs w:val="20"/>
          <w:lang w:val="pt-BR" w:eastAsia="pt-BR"/>
          <w14:ligatures w14:val="none"/>
        </w:rPr>
        <w:t xml:space="preserve"> Etimológico Castellano </w:t>
      </w:r>
      <w:proofErr w:type="spellStart"/>
      <w:r>
        <w:rPr>
          <w:rFonts w:eastAsia="Times New Roman"/>
          <w:kern w:val="0"/>
          <w:sz w:val="20"/>
          <w:szCs w:val="20"/>
          <w:lang w:val="pt-BR" w:eastAsia="pt-BR"/>
          <w14:ligatures w14:val="none"/>
        </w:rPr>
        <w:t>En</w:t>
      </w:r>
      <w:proofErr w:type="spellEnd"/>
      <w:r>
        <w:rPr>
          <w:rFonts w:eastAsia="Times New Roman"/>
          <w:kern w:val="0"/>
          <w:sz w:val="20"/>
          <w:szCs w:val="20"/>
          <w:lang w:val="pt-BR" w:eastAsia="pt-BR"/>
          <w14:ligatures w14:val="none"/>
        </w:rPr>
        <w:t xml:space="preserve"> Línea. Disponível em: &lt;https://etimologias.dechile.net&gt;.  Acesso em: 1o out. 2025. </w:t>
      </w:r>
    </w:p>
    <w:p w14:paraId="408F214E" w14:textId="77777777" w:rsidR="0003312E" w:rsidRDefault="00000000">
      <w:pPr>
        <w:pStyle w:val="PargrafodaLista"/>
        <w:numPr>
          <w:ilvl w:val="0"/>
          <w:numId w:val="4"/>
        </w:numPr>
        <w:spacing w:before="100" w:after="0" w:line="240" w:lineRule="auto"/>
        <w:jc w:val="both"/>
        <w:rPr>
          <w:rFonts w:ascii="Times New Roman" w:hAnsi="Times New Roman" w:cs="Times New Roman"/>
          <w:sz w:val="20"/>
          <w:szCs w:val="20"/>
        </w:rPr>
      </w:pPr>
      <w:r>
        <w:rPr>
          <w:rFonts w:ascii="Times New Roman" w:eastAsia="Times New Roman" w:hAnsi="Times New Roman" w:cs="Times New Roman"/>
          <w:kern w:val="0"/>
          <w:sz w:val="20"/>
          <w:szCs w:val="20"/>
          <w:lang w:val="en-US" w:eastAsia="pt-BR"/>
          <w14:ligatures w14:val="none"/>
        </w:rPr>
        <w:t>‌</w:t>
      </w:r>
      <w:r>
        <w:rPr>
          <w:rFonts w:ascii="Times New Roman" w:hAnsi="Times New Roman" w:cs="Times New Roman"/>
          <w:sz w:val="20"/>
          <w:szCs w:val="20"/>
          <w:lang w:val="en-US"/>
        </w:rPr>
        <w:t xml:space="preserve">DURKIN, Philip. </w:t>
      </w:r>
      <w:r>
        <w:rPr>
          <w:rStyle w:val="nfase"/>
          <w:rFonts w:ascii="Times New Roman" w:hAnsi="Times New Roman" w:cs="Times New Roman"/>
          <w:sz w:val="20"/>
          <w:szCs w:val="20"/>
          <w:lang w:val="en-US"/>
        </w:rPr>
        <w:t>Etymology</w:t>
      </w:r>
      <w:r>
        <w:rPr>
          <w:rFonts w:ascii="Times New Roman" w:hAnsi="Times New Roman" w:cs="Times New Roman"/>
          <w:sz w:val="20"/>
          <w:szCs w:val="20"/>
          <w:lang w:val="en-US"/>
        </w:rPr>
        <w:t xml:space="preserve">. In: </w:t>
      </w:r>
      <w:r>
        <w:rPr>
          <w:rStyle w:val="nfase"/>
          <w:rFonts w:ascii="Times New Roman" w:hAnsi="Times New Roman" w:cs="Times New Roman"/>
          <w:sz w:val="20"/>
          <w:szCs w:val="20"/>
          <w:lang w:val="en-US"/>
        </w:rPr>
        <w:t>The Oxford Handbook of the Word</w:t>
      </w:r>
      <w:r>
        <w:rPr>
          <w:rFonts w:ascii="Times New Roman" w:hAnsi="Times New Roman" w:cs="Times New Roman"/>
          <w:sz w:val="20"/>
          <w:szCs w:val="20"/>
          <w:lang w:val="en-US"/>
        </w:rPr>
        <w:t xml:space="preserve">. </w:t>
      </w:r>
      <w:r>
        <w:rPr>
          <w:rFonts w:ascii="Times New Roman" w:hAnsi="Times New Roman" w:cs="Times New Roman"/>
          <w:sz w:val="20"/>
          <w:szCs w:val="20"/>
        </w:rPr>
        <w:t xml:space="preserve">Oxford: Oxford </w:t>
      </w:r>
      <w:proofErr w:type="spellStart"/>
      <w:r>
        <w:rPr>
          <w:rFonts w:ascii="Times New Roman" w:hAnsi="Times New Roman" w:cs="Times New Roman"/>
          <w:sz w:val="20"/>
          <w:szCs w:val="20"/>
        </w:rPr>
        <w:t>University</w:t>
      </w:r>
      <w:proofErr w:type="spellEnd"/>
      <w:r>
        <w:rPr>
          <w:rFonts w:ascii="Times New Roman" w:hAnsi="Times New Roman" w:cs="Times New Roman"/>
          <w:sz w:val="20"/>
          <w:szCs w:val="20"/>
        </w:rPr>
        <w:t xml:space="preserve"> Press, 2015. Capítulo “</w:t>
      </w:r>
      <w:proofErr w:type="spellStart"/>
      <w:r>
        <w:rPr>
          <w:rFonts w:ascii="Times New Roman" w:hAnsi="Times New Roman" w:cs="Times New Roman"/>
          <w:sz w:val="20"/>
          <w:szCs w:val="20"/>
        </w:rPr>
        <w:t>Etymology</w:t>
      </w:r>
      <w:proofErr w:type="spellEnd"/>
      <w:r>
        <w:rPr>
          <w:rFonts w:ascii="Times New Roman" w:hAnsi="Times New Roman" w:cs="Times New Roman"/>
          <w:sz w:val="20"/>
          <w:szCs w:val="20"/>
        </w:rPr>
        <w:t>”. Disponível em: https://academic.oup.com/edited-volume/38609/chapter-abstract/334736505?redirectedFrom=fulltext. Acesso em: 17 set. 2025.</w:t>
      </w:r>
    </w:p>
    <w:p w14:paraId="4DFD975C" w14:textId="77777777" w:rsidR="0003312E" w:rsidRDefault="00000000">
      <w:pPr>
        <w:pStyle w:val="NormalWeb"/>
        <w:numPr>
          <w:ilvl w:val="0"/>
          <w:numId w:val="4"/>
        </w:numPr>
        <w:spacing w:beforeAutospacing="0" w:after="0" w:afterAutospacing="0" w:line="240" w:lineRule="auto"/>
        <w:jc w:val="both"/>
        <w:rPr>
          <w:sz w:val="20"/>
          <w:szCs w:val="20"/>
        </w:rPr>
      </w:pPr>
      <w:r>
        <w:rPr>
          <w:sz w:val="20"/>
          <w:szCs w:val="20"/>
        </w:rPr>
        <w:t xml:space="preserve">DURKIN, Philip. The Oxford Guide to Etymology. Oxford: Oxford University Press, 2009. </w:t>
      </w:r>
      <w:proofErr w:type="spellStart"/>
      <w:r>
        <w:rPr>
          <w:sz w:val="20"/>
          <w:szCs w:val="20"/>
        </w:rPr>
        <w:t>Disponível</w:t>
      </w:r>
      <w:proofErr w:type="spellEnd"/>
      <w:r>
        <w:rPr>
          <w:sz w:val="20"/>
          <w:szCs w:val="20"/>
        </w:rPr>
        <w:t xml:space="preserve"> </w:t>
      </w:r>
      <w:proofErr w:type="spellStart"/>
      <w:r>
        <w:rPr>
          <w:sz w:val="20"/>
          <w:szCs w:val="20"/>
        </w:rPr>
        <w:t>em</w:t>
      </w:r>
      <w:proofErr w:type="spellEnd"/>
      <w:r>
        <w:rPr>
          <w:sz w:val="20"/>
          <w:szCs w:val="20"/>
        </w:rPr>
        <w:t>: </w:t>
      </w:r>
      <w:hyperlink r:id="rId42" w:tgtFrame="_blank" w:history="1">
        <w:r>
          <w:rPr>
            <w:rStyle w:val="Hyperlink"/>
            <w:color w:val="auto"/>
            <w:sz w:val="20"/>
            <w:szCs w:val="20"/>
          </w:rPr>
          <w:t>https://archive.org/details/oxfordguidetoety0000durk</w:t>
        </w:r>
      </w:hyperlink>
      <w:r>
        <w:rPr>
          <w:sz w:val="20"/>
          <w:szCs w:val="20"/>
        </w:rPr>
        <w:t xml:space="preserve">. </w:t>
      </w:r>
      <w:proofErr w:type="spellStart"/>
      <w:r>
        <w:rPr>
          <w:sz w:val="20"/>
          <w:szCs w:val="20"/>
        </w:rPr>
        <w:t>Acesso</w:t>
      </w:r>
      <w:proofErr w:type="spellEnd"/>
      <w:r>
        <w:rPr>
          <w:sz w:val="20"/>
          <w:szCs w:val="20"/>
        </w:rPr>
        <w:t xml:space="preserve"> </w:t>
      </w:r>
      <w:proofErr w:type="spellStart"/>
      <w:r>
        <w:rPr>
          <w:sz w:val="20"/>
          <w:szCs w:val="20"/>
        </w:rPr>
        <w:t>em</w:t>
      </w:r>
      <w:proofErr w:type="spellEnd"/>
      <w:r>
        <w:rPr>
          <w:sz w:val="20"/>
          <w:szCs w:val="20"/>
        </w:rPr>
        <w:t>: 25 ago.2025.</w:t>
      </w:r>
    </w:p>
    <w:p w14:paraId="14A47F17" w14:textId="77777777" w:rsidR="0003312E" w:rsidRDefault="00000000">
      <w:pPr>
        <w:pStyle w:val="NormalWeb"/>
        <w:numPr>
          <w:ilvl w:val="0"/>
          <w:numId w:val="4"/>
        </w:numPr>
        <w:spacing w:beforeAutospacing="0" w:after="0" w:afterAutospacing="0" w:line="240" w:lineRule="auto"/>
        <w:jc w:val="both"/>
        <w:rPr>
          <w:sz w:val="20"/>
          <w:szCs w:val="20"/>
          <w:lang w:val="pt-BR"/>
        </w:rPr>
      </w:pPr>
      <w:r>
        <w:rPr>
          <w:sz w:val="20"/>
          <w:szCs w:val="20"/>
          <w:lang w:val="pt-BR"/>
        </w:rPr>
        <w:t xml:space="preserve">EBENEZER, David A.; MOHANRAJ, </w:t>
      </w:r>
      <w:proofErr w:type="spellStart"/>
      <w:r>
        <w:rPr>
          <w:sz w:val="20"/>
          <w:szCs w:val="20"/>
          <w:lang w:val="pt-BR"/>
        </w:rPr>
        <w:t>Saravanan</w:t>
      </w:r>
      <w:proofErr w:type="spellEnd"/>
      <w:r>
        <w:rPr>
          <w:sz w:val="20"/>
          <w:szCs w:val="20"/>
          <w:lang w:val="pt-BR"/>
        </w:rPr>
        <w:t xml:space="preserve">. </w:t>
      </w:r>
      <w:r>
        <w:rPr>
          <w:sz w:val="20"/>
          <w:szCs w:val="20"/>
        </w:rPr>
        <w:t>Understanding etymology: awareness among doctors and a tool in successful medical education. International Journal of Medical Science and Education, [</w:t>
      </w:r>
      <w:proofErr w:type="spellStart"/>
      <w:r>
        <w:rPr>
          <w:sz w:val="20"/>
          <w:szCs w:val="20"/>
        </w:rPr>
        <w:t>S.l.</w:t>
      </w:r>
      <w:proofErr w:type="spellEnd"/>
      <w:r>
        <w:rPr>
          <w:sz w:val="20"/>
          <w:szCs w:val="20"/>
        </w:rPr>
        <w:t xml:space="preserve">], v. 7, n. 1, p. 8 - 11, </w:t>
      </w:r>
      <w:proofErr w:type="spellStart"/>
      <w:r>
        <w:rPr>
          <w:sz w:val="20"/>
          <w:szCs w:val="20"/>
        </w:rPr>
        <w:t>jan.</w:t>
      </w:r>
      <w:proofErr w:type="spellEnd"/>
      <w:r>
        <w:rPr>
          <w:sz w:val="20"/>
          <w:szCs w:val="20"/>
        </w:rPr>
        <w:t xml:space="preserve"> 2020. </w:t>
      </w:r>
      <w:r>
        <w:rPr>
          <w:sz w:val="20"/>
          <w:szCs w:val="20"/>
          <w:lang w:val="pt-BR"/>
        </w:rPr>
        <w:t>Disponível em: </w:t>
      </w:r>
      <w:hyperlink r:id="rId43" w:tgtFrame="_blank" w:history="1">
        <w:r>
          <w:rPr>
            <w:rStyle w:val="Hyperlink"/>
            <w:color w:val="auto"/>
            <w:sz w:val="20"/>
            <w:szCs w:val="20"/>
            <w:lang w:val="pt-BR"/>
          </w:rPr>
          <w:t>http://www.ijmse.com/uploads/1/4/0/3/14032141/ijmse2020_7_1_._8-11.pdf</w:t>
        </w:r>
      </w:hyperlink>
      <w:r>
        <w:rPr>
          <w:sz w:val="20"/>
          <w:szCs w:val="20"/>
          <w:lang w:val="pt-BR"/>
        </w:rPr>
        <w:t xml:space="preserve">.  Acesso em: 1o out. 2025. </w:t>
      </w:r>
    </w:p>
    <w:p w14:paraId="05AC4098" w14:textId="77777777" w:rsidR="0003312E" w:rsidRDefault="00000000">
      <w:pPr>
        <w:pStyle w:val="NormalWeb"/>
        <w:numPr>
          <w:ilvl w:val="0"/>
          <w:numId w:val="4"/>
        </w:numPr>
        <w:spacing w:beforeAutospacing="0" w:after="0" w:afterAutospacing="0" w:line="240" w:lineRule="auto"/>
        <w:jc w:val="both"/>
        <w:rPr>
          <w:sz w:val="20"/>
          <w:szCs w:val="20"/>
          <w:lang w:val="pt-BR"/>
        </w:rPr>
      </w:pPr>
      <w:r>
        <w:rPr>
          <w:sz w:val="20"/>
          <w:szCs w:val="20"/>
        </w:rPr>
        <w:t xml:space="preserve">HALLOCK, R. Mark; BRAND, Elizabeth C.; MIHALIC, Thomas B. Word Origins of Common Neuroscience Terms for Use in an Undergraduate Classroom. Journal of Undergraduate Neuroscience Education, v. 15, n. 1, p. A76 - 84, 15 abr. 2016. </w:t>
      </w:r>
      <w:r>
        <w:rPr>
          <w:sz w:val="20"/>
          <w:szCs w:val="20"/>
          <w:lang w:val="pt-BR"/>
        </w:rPr>
        <w:t>Disponível em: https://pmc.ncbi.nlm.nih.gov/</w:t>
      </w:r>
      <w:proofErr w:type="spellStart"/>
      <w:r>
        <w:rPr>
          <w:sz w:val="20"/>
          <w:szCs w:val="20"/>
          <w:lang w:val="pt-BR"/>
        </w:rPr>
        <w:t>articles</w:t>
      </w:r>
      <w:proofErr w:type="spellEnd"/>
      <w:r>
        <w:rPr>
          <w:sz w:val="20"/>
          <w:szCs w:val="20"/>
          <w:lang w:val="pt-BR"/>
        </w:rPr>
        <w:t xml:space="preserve">/PMC5105969.  Acesso em: 1o out. 2025. </w:t>
      </w:r>
    </w:p>
    <w:p w14:paraId="3C36B347" w14:textId="77777777" w:rsidR="0003312E" w:rsidRDefault="00000000">
      <w:pPr>
        <w:pStyle w:val="NormalWeb"/>
        <w:numPr>
          <w:ilvl w:val="0"/>
          <w:numId w:val="4"/>
        </w:numPr>
        <w:spacing w:beforeAutospacing="0" w:after="0" w:afterAutospacing="0" w:line="240" w:lineRule="auto"/>
        <w:jc w:val="both"/>
        <w:rPr>
          <w:sz w:val="20"/>
          <w:szCs w:val="20"/>
        </w:rPr>
      </w:pPr>
      <w:r>
        <w:rPr>
          <w:sz w:val="20"/>
          <w:szCs w:val="20"/>
        </w:rPr>
        <w:t xml:space="preserve">HARPER, Douglas. Online Etymology Dictionary. </w:t>
      </w:r>
      <w:r>
        <w:rPr>
          <w:sz w:val="20"/>
          <w:szCs w:val="20"/>
          <w:lang w:val="pt-BR"/>
        </w:rPr>
        <w:t>2001-2024. Disponível em: </w:t>
      </w:r>
      <w:hyperlink r:id="rId44" w:tgtFrame="_blank" w:history="1">
        <w:r>
          <w:rPr>
            <w:rStyle w:val="Hyperlink"/>
            <w:color w:val="auto"/>
            <w:sz w:val="20"/>
            <w:szCs w:val="20"/>
            <w:lang w:val="pt-BR"/>
          </w:rPr>
          <w:t>https://www.etymonline.com/</w:t>
        </w:r>
      </w:hyperlink>
      <w:r>
        <w:rPr>
          <w:sz w:val="20"/>
          <w:szCs w:val="20"/>
          <w:lang w:val="pt-BR"/>
        </w:rPr>
        <w:t xml:space="preserve">.  Acesso em: 1o out. 2025. </w:t>
      </w:r>
    </w:p>
    <w:p w14:paraId="19887D24" w14:textId="77777777" w:rsidR="0003312E" w:rsidRDefault="00000000">
      <w:pPr>
        <w:pStyle w:val="NormalWeb"/>
        <w:numPr>
          <w:ilvl w:val="0"/>
          <w:numId w:val="4"/>
        </w:numPr>
        <w:spacing w:beforeAutospacing="0" w:after="0" w:afterAutospacing="0" w:line="240" w:lineRule="auto"/>
        <w:jc w:val="both"/>
        <w:rPr>
          <w:sz w:val="20"/>
          <w:szCs w:val="20"/>
          <w:lang w:val="pt-BR"/>
        </w:rPr>
      </w:pPr>
      <w:r>
        <w:rPr>
          <w:rStyle w:val="Forte"/>
          <w:rFonts w:eastAsia="Segoe UI"/>
          <w:b w:val="0"/>
          <w:bCs w:val="0"/>
          <w:sz w:val="20"/>
          <w:szCs w:val="20"/>
          <w:shd w:val="clear" w:color="auto" w:fill="FFFFFF"/>
        </w:rPr>
        <w:t>LEWIS, Charlton T.; SHORT, Charles.</w:t>
      </w:r>
      <w:r>
        <w:rPr>
          <w:rFonts w:eastAsia="Segoe UI"/>
          <w:sz w:val="20"/>
          <w:szCs w:val="20"/>
          <w:shd w:val="clear" w:color="auto" w:fill="FFFFFF"/>
        </w:rPr>
        <w:t> </w:t>
      </w:r>
      <w:r>
        <w:rPr>
          <w:rStyle w:val="nfase"/>
          <w:rFonts w:eastAsia="Segoe UI"/>
          <w:sz w:val="20"/>
          <w:szCs w:val="20"/>
          <w:shd w:val="clear" w:color="auto" w:fill="FFFFFF"/>
        </w:rPr>
        <w:t>A Latin Dictionary.</w:t>
      </w:r>
      <w:r>
        <w:rPr>
          <w:rFonts w:eastAsia="Segoe UI"/>
          <w:sz w:val="20"/>
          <w:szCs w:val="20"/>
          <w:shd w:val="clear" w:color="auto" w:fill="FFFFFF"/>
        </w:rPr>
        <w:t xml:space="preserve"> Oxford: Clarendon Press, 1879. </w:t>
      </w:r>
      <w:r>
        <w:rPr>
          <w:rFonts w:eastAsia="Segoe UI"/>
          <w:sz w:val="20"/>
          <w:szCs w:val="20"/>
          <w:shd w:val="clear" w:color="auto" w:fill="FFFFFF"/>
          <w:lang w:val="pt-BR"/>
        </w:rPr>
        <w:t>Disponível em: </w:t>
      </w:r>
      <w:hyperlink r:id="rId45" w:tgtFrame="https://chat.deepseek.com/a/chat/s/_blank" w:history="1">
        <w:r>
          <w:rPr>
            <w:rStyle w:val="Hyperlink"/>
            <w:rFonts w:eastAsia="Segoe UI"/>
            <w:color w:val="auto"/>
            <w:sz w:val="20"/>
            <w:szCs w:val="20"/>
            <w:u w:val="none"/>
            <w:shd w:val="clear" w:color="auto" w:fill="FFFFFF"/>
            <w:lang w:val="pt-BR"/>
          </w:rPr>
          <w:t>https://www.perseus.tufts.edu/hopper/text?doc=Perseus%3Atext%3A1999.04.0059</w:t>
        </w:r>
      </w:hyperlink>
      <w:r>
        <w:rPr>
          <w:rFonts w:eastAsia="Segoe UI"/>
          <w:sz w:val="20"/>
          <w:szCs w:val="20"/>
          <w:shd w:val="clear" w:color="auto" w:fill="FFFFFF"/>
          <w:lang w:val="pt-BR"/>
        </w:rPr>
        <w:t xml:space="preserve">. </w:t>
      </w:r>
      <w:r>
        <w:rPr>
          <w:sz w:val="20"/>
          <w:szCs w:val="20"/>
          <w:lang w:val="pt-BR"/>
        </w:rPr>
        <w:t xml:space="preserve">Acesso em: 1o out. 2025. </w:t>
      </w:r>
    </w:p>
    <w:p w14:paraId="24359975" w14:textId="77777777" w:rsidR="0003312E" w:rsidRDefault="00000000">
      <w:pPr>
        <w:pStyle w:val="NormalWeb"/>
        <w:numPr>
          <w:ilvl w:val="0"/>
          <w:numId w:val="4"/>
        </w:numPr>
        <w:spacing w:beforeAutospacing="0" w:after="0" w:afterAutospacing="0" w:line="240" w:lineRule="auto"/>
        <w:jc w:val="both"/>
        <w:rPr>
          <w:sz w:val="20"/>
          <w:szCs w:val="20"/>
          <w:lang w:val="pt-BR"/>
        </w:rPr>
      </w:pPr>
      <w:r>
        <w:rPr>
          <w:sz w:val="20"/>
          <w:szCs w:val="20"/>
          <w:lang w:val="pt-BR"/>
        </w:rPr>
        <w:t xml:space="preserve">MAREČKOVÁ, Elena; ŠIMON, </w:t>
      </w:r>
      <w:proofErr w:type="spellStart"/>
      <w:r>
        <w:rPr>
          <w:sz w:val="20"/>
          <w:szCs w:val="20"/>
          <w:lang w:val="pt-BR"/>
        </w:rPr>
        <w:t>František</w:t>
      </w:r>
      <w:proofErr w:type="spellEnd"/>
      <w:r>
        <w:rPr>
          <w:sz w:val="20"/>
          <w:szCs w:val="20"/>
          <w:lang w:val="pt-BR"/>
        </w:rPr>
        <w:t xml:space="preserve">; ČERVENÝ, Ladislav. </w:t>
      </w:r>
      <w:r>
        <w:rPr>
          <w:sz w:val="20"/>
          <w:szCs w:val="20"/>
        </w:rPr>
        <w:t>Latin as the language of medical terminology: some remarks on its role and prospects. Swiss Medical Weekly, [</w:t>
      </w:r>
      <w:proofErr w:type="spellStart"/>
      <w:r>
        <w:rPr>
          <w:sz w:val="20"/>
          <w:szCs w:val="20"/>
        </w:rPr>
        <w:t>s.l.</w:t>
      </w:r>
      <w:proofErr w:type="spellEnd"/>
      <w:r>
        <w:rPr>
          <w:sz w:val="20"/>
          <w:szCs w:val="20"/>
        </w:rPr>
        <w:t>], [</w:t>
      </w:r>
      <w:proofErr w:type="spellStart"/>
      <w:r>
        <w:rPr>
          <w:sz w:val="20"/>
          <w:szCs w:val="20"/>
        </w:rPr>
        <w:t>s.n</w:t>
      </w:r>
      <w:proofErr w:type="spellEnd"/>
      <w:r>
        <w:rPr>
          <w:sz w:val="20"/>
          <w:szCs w:val="20"/>
        </w:rPr>
        <w:t>.], [</w:t>
      </w:r>
      <w:proofErr w:type="spellStart"/>
      <w:r>
        <w:rPr>
          <w:sz w:val="20"/>
          <w:szCs w:val="20"/>
        </w:rPr>
        <w:t>s.d.</w:t>
      </w:r>
      <w:proofErr w:type="spellEnd"/>
      <w:r>
        <w:rPr>
          <w:sz w:val="20"/>
          <w:szCs w:val="20"/>
        </w:rPr>
        <w:t xml:space="preserve">]. </w:t>
      </w:r>
      <w:proofErr w:type="spellStart"/>
      <w:r>
        <w:rPr>
          <w:sz w:val="20"/>
          <w:szCs w:val="20"/>
        </w:rPr>
        <w:t>Disponível</w:t>
      </w:r>
      <w:proofErr w:type="spellEnd"/>
      <w:r>
        <w:rPr>
          <w:sz w:val="20"/>
          <w:szCs w:val="20"/>
        </w:rPr>
        <w:t xml:space="preserve"> </w:t>
      </w:r>
      <w:proofErr w:type="spellStart"/>
      <w:r>
        <w:rPr>
          <w:sz w:val="20"/>
          <w:szCs w:val="20"/>
        </w:rPr>
        <w:t>em</w:t>
      </w:r>
      <w:proofErr w:type="spellEnd"/>
      <w:r>
        <w:rPr>
          <w:sz w:val="20"/>
          <w:szCs w:val="20"/>
        </w:rPr>
        <w:t xml:space="preserve">: https://www.academia.edu/123658258/Latin_as_the_language_of_medical_terminology_some_remarks_on_its_role_and_prospects.  </w:t>
      </w:r>
      <w:r>
        <w:rPr>
          <w:sz w:val="20"/>
          <w:szCs w:val="20"/>
          <w:lang w:val="pt-BR"/>
        </w:rPr>
        <w:t xml:space="preserve">Acesso em: 1o out. 2025. </w:t>
      </w:r>
    </w:p>
    <w:p w14:paraId="374CED01" w14:textId="77777777" w:rsidR="0003312E" w:rsidRDefault="00000000">
      <w:pPr>
        <w:pStyle w:val="NormalWeb"/>
        <w:numPr>
          <w:ilvl w:val="0"/>
          <w:numId w:val="4"/>
        </w:numPr>
        <w:spacing w:beforeAutospacing="0" w:after="0" w:afterAutospacing="0" w:line="240" w:lineRule="auto"/>
        <w:jc w:val="both"/>
        <w:rPr>
          <w:sz w:val="20"/>
          <w:szCs w:val="20"/>
        </w:rPr>
      </w:pPr>
      <w:r>
        <w:rPr>
          <w:sz w:val="20"/>
          <w:szCs w:val="20"/>
        </w:rPr>
        <w:t xml:space="preserve">MEHTA, Arpan R.; CHANDRAN, Siddharth; HUNT, David P. J. Grey Matter Etymology and the neuron(e). </w:t>
      </w:r>
      <w:proofErr w:type="spellStart"/>
      <w:r>
        <w:rPr>
          <w:sz w:val="20"/>
          <w:szCs w:val="20"/>
          <w:lang w:val="pt-BR"/>
        </w:rPr>
        <w:t>Brain</w:t>
      </w:r>
      <w:proofErr w:type="spellEnd"/>
      <w:r>
        <w:rPr>
          <w:sz w:val="20"/>
          <w:szCs w:val="20"/>
          <w:lang w:val="pt-BR"/>
        </w:rPr>
        <w:t>, v. 143, n. 1, p. 374 - 379, 2020. Disponível em: </w:t>
      </w:r>
      <w:hyperlink r:id="rId46" w:tgtFrame="_blank" w:history="1">
        <w:r>
          <w:rPr>
            <w:rStyle w:val="Hyperlink"/>
            <w:color w:val="auto"/>
            <w:sz w:val="20"/>
            <w:szCs w:val="20"/>
            <w:lang w:val="pt-BR"/>
          </w:rPr>
          <w:t>https://academic.oup.com/brain/article/143/1/374/5679563</w:t>
        </w:r>
      </w:hyperlink>
      <w:r>
        <w:rPr>
          <w:sz w:val="20"/>
          <w:szCs w:val="20"/>
          <w:lang w:val="pt-BR"/>
        </w:rPr>
        <w:t xml:space="preserve">.  Acesso em: 1o out. 2025. </w:t>
      </w:r>
    </w:p>
    <w:p w14:paraId="1D2D0E7D" w14:textId="77777777" w:rsidR="0003312E" w:rsidRDefault="00000000">
      <w:pPr>
        <w:pStyle w:val="NormalWeb"/>
        <w:numPr>
          <w:ilvl w:val="0"/>
          <w:numId w:val="4"/>
        </w:numPr>
        <w:spacing w:beforeAutospacing="0" w:after="0" w:afterAutospacing="0" w:line="240" w:lineRule="auto"/>
        <w:jc w:val="both"/>
        <w:rPr>
          <w:sz w:val="20"/>
          <w:szCs w:val="20"/>
          <w:lang w:val="pt-BR"/>
        </w:rPr>
      </w:pPr>
      <w:r>
        <w:rPr>
          <w:sz w:val="20"/>
          <w:szCs w:val="20"/>
        </w:rPr>
        <w:t xml:space="preserve">MOSENTHAL, William T. Etymology-anatomy-history-culture. </w:t>
      </w:r>
      <w:r>
        <w:rPr>
          <w:sz w:val="20"/>
          <w:szCs w:val="20"/>
          <w:lang w:val="pt-BR"/>
        </w:rPr>
        <w:t xml:space="preserve">Clinical </w:t>
      </w:r>
      <w:proofErr w:type="spellStart"/>
      <w:r>
        <w:rPr>
          <w:sz w:val="20"/>
          <w:szCs w:val="20"/>
          <w:lang w:val="pt-BR"/>
        </w:rPr>
        <w:t>Anatomy</w:t>
      </w:r>
      <w:proofErr w:type="spellEnd"/>
      <w:r>
        <w:rPr>
          <w:sz w:val="20"/>
          <w:szCs w:val="20"/>
          <w:lang w:val="pt-BR"/>
        </w:rPr>
        <w:t xml:space="preserve">, v. 14, n. 1, p. 92, 2001. Disponível em: https://onlinelibrary.wiley.com/doi/epdf/10.1002/1098-2353%28200101%2914%3A1&lt;92%3A%3AAID-CA1015&gt;3.0.CO%3B2-O.  Acesso em: 1o out. 2025. </w:t>
      </w:r>
    </w:p>
    <w:p w14:paraId="6491A40E" w14:textId="77777777" w:rsidR="0003312E" w:rsidRDefault="00000000">
      <w:pPr>
        <w:pStyle w:val="NormalWeb"/>
        <w:numPr>
          <w:ilvl w:val="0"/>
          <w:numId w:val="4"/>
        </w:numPr>
        <w:spacing w:beforeAutospacing="0" w:after="0" w:afterAutospacing="0" w:line="240" w:lineRule="auto"/>
        <w:jc w:val="both"/>
        <w:rPr>
          <w:sz w:val="20"/>
          <w:szCs w:val="20"/>
          <w:lang w:val="pt-BR"/>
        </w:rPr>
      </w:pPr>
      <w:r>
        <w:rPr>
          <w:sz w:val="20"/>
          <w:szCs w:val="20"/>
        </w:rPr>
        <w:t xml:space="preserve">PAPOULAS, Michail; DOUVETZEMIS, Stergios. Ancient Greek terminology in </w:t>
      </w:r>
      <w:proofErr w:type="spellStart"/>
      <w:r>
        <w:rPr>
          <w:sz w:val="20"/>
          <w:szCs w:val="20"/>
        </w:rPr>
        <w:t>hepatopancreatobiliary</w:t>
      </w:r>
      <w:proofErr w:type="spellEnd"/>
      <w:r>
        <w:rPr>
          <w:sz w:val="20"/>
          <w:szCs w:val="20"/>
        </w:rPr>
        <w:t xml:space="preserve"> anatomy and surgery. </w:t>
      </w:r>
      <w:r>
        <w:rPr>
          <w:sz w:val="20"/>
          <w:szCs w:val="20"/>
          <w:lang w:val="pt-BR"/>
        </w:rPr>
        <w:t xml:space="preserve">Israel Medical </w:t>
      </w:r>
      <w:proofErr w:type="spellStart"/>
      <w:r>
        <w:rPr>
          <w:sz w:val="20"/>
          <w:szCs w:val="20"/>
          <w:lang w:val="pt-BR"/>
        </w:rPr>
        <w:t>Association</w:t>
      </w:r>
      <w:proofErr w:type="spellEnd"/>
      <w:r>
        <w:rPr>
          <w:sz w:val="20"/>
          <w:szCs w:val="20"/>
          <w:lang w:val="pt-BR"/>
        </w:rPr>
        <w:t xml:space="preserve"> </w:t>
      </w:r>
      <w:proofErr w:type="spellStart"/>
      <w:r>
        <w:rPr>
          <w:sz w:val="20"/>
          <w:szCs w:val="20"/>
          <w:lang w:val="pt-BR"/>
        </w:rPr>
        <w:t>Journal</w:t>
      </w:r>
      <w:proofErr w:type="spellEnd"/>
      <w:r>
        <w:rPr>
          <w:sz w:val="20"/>
          <w:szCs w:val="20"/>
          <w:lang w:val="pt-BR"/>
        </w:rPr>
        <w:t>, v. 17, n. 8, p. 467 - 469, 2015. Disponível em: </w:t>
      </w:r>
      <w:hyperlink r:id="rId47" w:tgtFrame="_blank" w:history="1">
        <w:r>
          <w:rPr>
            <w:rStyle w:val="Hyperlink"/>
            <w:color w:val="auto"/>
            <w:sz w:val="20"/>
            <w:szCs w:val="20"/>
            <w:lang w:val="pt-BR"/>
          </w:rPr>
          <w:t>https://www.researchgate.net/publication/283542546</w:t>
        </w:r>
      </w:hyperlink>
      <w:r>
        <w:rPr>
          <w:sz w:val="20"/>
          <w:szCs w:val="20"/>
          <w:lang w:val="pt-BR"/>
        </w:rPr>
        <w:t xml:space="preserve">.  Acesso em: 1o out. 2025. </w:t>
      </w:r>
    </w:p>
    <w:p w14:paraId="424F9456" w14:textId="77777777" w:rsidR="0003312E" w:rsidRDefault="00000000">
      <w:pPr>
        <w:pStyle w:val="NormalWeb"/>
        <w:numPr>
          <w:ilvl w:val="0"/>
          <w:numId w:val="4"/>
        </w:numPr>
        <w:spacing w:beforeAutospacing="0" w:after="0" w:afterAutospacing="0" w:line="240" w:lineRule="auto"/>
        <w:jc w:val="both"/>
        <w:rPr>
          <w:sz w:val="20"/>
          <w:szCs w:val="20"/>
        </w:rPr>
      </w:pPr>
      <w:r>
        <w:rPr>
          <w:sz w:val="20"/>
          <w:szCs w:val="20"/>
        </w:rPr>
        <w:t xml:space="preserve">PULVERMÜLLER, F. Words in the brain's language. Behavioral and Brain Sciences, v. 22, n. 2, p. 253 - 336, 1999. </w:t>
      </w:r>
      <w:r>
        <w:rPr>
          <w:sz w:val="20"/>
          <w:szCs w:val="20"/>
          <w:lang w:val="pt-BR"/>
        </w:rPr>
        <w:t>Disponível em: </w:t>
      </w:r>
      <w:hyperlink r:id="rId48" w:tgtFrame="_blank" w:history="1">
        <w:r>
          <w:rPr>
            <w:rStyle w:val="Hyperlink"/>
            <w:color w:val="auto"/>
            <w:sz w:val="20"/>
            <w:szCs w:val="20"/>
            <w:lang w:val="pt-BR"/>
          </w:rPr>
          <w:t>https://kops.uni-konstanz.de/bitstream/handle/123456789/10734/Pulvermueller_1999_Words_in_the.pdf</w:t>
        </w:r>
      </w:hyperlink>
      <w:r>
        <w:rPr>
          <w:sz w:val="20"/>
          <w:szCs w:val="20"/>
          <w:lang w:val="pt-BR"/>
        </w:rPr>
        <w:t xml:space="preserve">.  Acesso em: 1o out. 2025. </w:t>
      </w:r>
    </w:p>
    <w:p w14:paraId="01FA8CA0" w14:textId="77777777" w:rsidR="0003312E" w:rsidRPr="000D7094" w:rsidRDefault="00000000">
      <w:pPr>
        <w:pStyle w:val="NormalWeb"/>
        <w:numPr>
          <w:ilvl w:val="0"/>
          <w:numId w:val="4"/>
        </w:numPr>
        <w:spacing w:beforeAutospacing="0" w:after="0" w:afterAutospacing="0" w:line="240" w:lineRule="auto"/>
        <w:jc w:val="both"/>
        <w:rPr>
          <w:sz w:val="20"/>
          <w:szCs w:val="20"/>
          <w:lang w:val="pt-BR"/>
        </w:rPr>
      </w:pPr>
      <w:r>
        <w:rPr>
          <w:sz w:val="20"/>
          <w:szCs w:val="20"/>
          <w:lang w:val="pt-BR"/>
        </w:rPr>
        <w:t xml:space="preserve">RAE-REAL ACADEMIA ESPAÑOLA. </w:t>
      </w:r>
      <w:proofErr w:type="spellStart"/>
      <w:r>
        <w:rPr>
          <w:sz w:val="20"/>
          <w:szCs w:val="20"/>
          <w:lang w:val="pt-BR"/>
        </w:rPr>
        <w:t>Diccionario</w:t>
      </w:r>
      <w:proofErr w:type="spellEnd"/>
      <w:r>
        <w:rPr>
          <w:sz w:val="20"/>
          <w:szCs w:val="20"/>
          <w:lang w:val="pt-BR"/>
        </w:rPr>
        <w:t xml:space="preserve"> de </w:t>
      </w:r>
      <w:proofErr w:type="spellStart"/>
      <w:r>
        <w:rPr>
          <w:sz w:val="20"/>
          <w:szCs w:val="20"/>
          <w:lang w:val="pt-BR"/>
        </w:rPr>
        <w:t>la</w:t>
      </w:r>
      <w:proofErr w:type="spellEnd"/>
      <w:r>
        <w:rPr>
          <w:sz w:val="20"/>
          <w:szCs w:val="20"/>
          <w:lang w:val="pt-BR"/>
        </w:rPr>
        <w:t xml:space="preserve"> </w:t>
      </w:r>
      <w:proofErr w:type="spellStart"/>
      <w:r>
        <w:rPr>
          <w:sz w:val="20"/>
          <w:szCs w:val="20"/>
          <w:lang w:val="pt-BR"/>
        </w:rPr>
        <w:t>lengua</w:t>
      </w:r>
      <w:proofErr w:type="spellEnd"/>
      <w:r>
        <w:rPr>
          <w:sz w:val="20"/>
          <w:szCs w:val="20"/>
          <w:lang w:val="pt-BR"/>
        </w:rPr>
        <w:t xml:space="preserve"> </w:t>
      </w:r>
      <w:proofErr w:type="spellStart"/>
      <w:r>
        <w:rPr>
          <w:sz w:val="20"/>
          <w:szCs w:val="20"/>
          <w:lang w:val="pt-BR"/>
        </w:rPr>
        <w:t>española</w:t>
      </w:r>
      <w:proofErr w:type="spellEnd"/>
      <w:r>
        <w:rPr>
          <w:sz w:val="20"/>
          <w:szCs w:val="20"/>
          <w:lang w:val="pt-BR"/>
        </w:rPr>
        <w:t>. 23. ed. [Madrid]: RAE, 2014. Disponível em: </w:t>
      </w:r>
      <w:hyperlink r:id="rId49" w:tgtFrame="_blank" w:history="1">
        <w:r>
          <w:rPr>
            <w:rStyle w:val="Hyperlink"/>
            <w:color w:val="auto"/>
            <w:sz w:val="20"/>
            <w:szCs w:val="20"/>
            <w:lang w:val="pt-BR"/>
          </w:rPr>
          <w:t>https://dle.rae.es/</w:t>
        </w:r>
      </w:hyperlink>
      <w:r>
        <w:rPr>
          <w:sz w:val="20"/>
          <w:szCs w:val="20"/>
          <w:lang w:val="pt-BR"/>
        </w:rPr>
        <w:t xml:space="preserve">.  Acesso em: 1o out. 2025. </w:t>
      </w:r>
    </w:p>
    <w:p w14:paraId="03F18063" w14:textId="77777777" w:rsidR="0003312E" w:rsidRDefault="00000000">
      <w:pPr>
        <w:pStyle w:val="NormalWeb"/>
        <w:numPr>
          <w:ilvl w:val="0"/>
          <w:numId w:val="4"/>
        </w:numPr>
        <w:spacing w:beforeAutospacing="0" w:after="0" w:afterAutospacing="0" w:line="240" w:lineRule="auto"/>
        <w:jc w:val="both"/>
        <w:rPr>
          <w:sz w:val="20"/>
          <w:szCs w:val="20"/>
          <w:lang w:val="pt-BR"/>
        </w:rPr>
      </w:pPr>
      <w:r>
        <w:rPr>
          <w:sz w:val="20"/>
          <w:szCs w:val="20"/>
          <w:lang w:val="pt-BR"/>
        </w:rPr>
        <w:lastRenderedPageBreak/>
        <w:t xml:space="preserve">ROBERGE, Paul T. Resenha do livro: DURKIN, Philip. </w:t>
      </w:r>
      <w:r>
        <w:rPr>
          <w:sz w:val="20"/>
          <w:szCs w:val="20"/>
        </w:rPr>
        <w:t xml:space="preserve">The Oxford guide to etymology. Oxford: Oxford University Press, 2009. English Language &amp; Linguistics, v. 15, n. 1, p. 183 - 188, 2011. </w:t>
      </w:r>
      <w:r>
        <w:rPr>
          <w:sz w:val="20"/>
          <w:szCs w:val="20"/>
          <w:lang w:val="pt-BR"/>
        </w:rPr>
        <w:t xml:space="preserve">Disponível em: </w:t>
      </w:r>
      <w:hyperlink r:id="rId50" w:history="1">
        <w:r>
          <w:rPr>
            <w:rStyle w:val="Hyperlink"/>
            <w:color w:val="auto"/>
            <w:sz w:val="20"/>
            <w:szCs w:val="20"/>
            <w:lang w:val="pt-BR"/>
          </w:rPr>
          <w:t>https://www.researchgate.net/publication/231951027_Philip_Durkin_The_Oxford_guide_to_etymology_Oxford_Oxford_University_Press_2009_Pp_x_350_Hardback_2500</w:t>
        </w:r>
      </w:hyperlink>
      <w:r>
        <w:rPr>
          <w:sz w:val="20"/>
          <w:szCs w:val="20"/>
          <w:lang w:val="pt-BR"/>
        </w:rPr>
        <w:t xml:space="preserve">.  Acesso em: 1o out. 2025. </w:t>
      </w:r>
    </w:p>
    <w:p w14:paraId="62D71A86" w14:textId="77777777" w:rsidR="0003312E" w:rsidRDefault="00000000">
      <w:pPr>
        <w:pStyle w:val="NormalWeb"/>
        <w:numPr>
          <w:ilvl w:val="0"/>
          <w:numId w:val="4"/>
        </w:numPr>
        <w:spacing w:beforeAutospacing="0" w:after="0" w:afterAutospacing="0" w:line="240" w:lineRule="auto"/>
        <w:jc w:val="both"/>
        <w:rPr>
          <w:sz w:val="20"/>
          <w:szCs w:val="20"/>
        </w:rPr>
      </w:pPr>
      <w:r>
        <w:rPr>
          <w:sz w:val="20"/>
          <w:szCs w:val="20"/>
        </w:rPr>
        <w:t xml:space="preserve">SACKS, Oliver. The Case of the </w:t>
      </w:r>
      <w:proofErr w:type="spellStart"/>
      <w:r>
        <w:rPr>
          <w:sz w:val="20"/>
          <w:szCs w:val="20"/>
        </w:rPr>
        <w:t>Colourblind</w:t>
      </w:r>
      <w:proofErr w:type="spellEnd"/>
      <w:r>
        <w:rPr>
          <w:sz w:val="20"/>
          <w:szCs w:val="20"/>
        </w:rPr>
        <w:t xml:space="preserve"> Painter. In: An Anthropologist on Mars: Seven Paradoxical Tales. New York: Vintage Books, 1995. Cap. 1, p.32. </w:t>
      </w:r>
      <w:proofErr w:type="spellStart"/>
      <w:r>
        <w:rPr>
          <w:sz w:val="20"/>
          <w:szCs w:val="20"/>
        </w:rPr>
        <w:t>Disponível</w:t>
      </w:r>
      <w:proofErr w:type="spellEnd"/>
      <w:r>
        <w:rPr>
          <w:sz w:val="20"/>
          <w:szCs w:val="20"/>
        </w:rPr>
        <w:t xml:space="preserve"> em: </w:t>
      </w:r>
      <w:hyperlink r:id="rId51" w:tgtFrame="_blank" w:history="1">
        <w:r>
          <w:rPr>
            <w:rStyle w:val="Hyperlink"/>
            <w:color w:val="auto"/>
            <w:sz w:val="20"/>
            <w:szCs w:val="20"/>
          </w:rPr>
          <w:t>https://gavinadair.files.wordpress.com/2017/04/sacks-the-case-of-the-colorblind-painter.pdf</w:t>
        </w:r>
      </w:hyperlink>
      <w:r>
        <w:rPr>
          <w:sz w:val="20"/>
          <w:szCs w:val="20"/>
        </w:rPr>
        <w:t xml:space="preserve">.  </w:t>
      </w:r>
      <w:r>
        <w:rPr>
          <w:sz w:val="20"/>
          <w:szCs w:val="20"/>
          <w:lang w:val="pt-BR"/>
        </w:rPr>
        <w:t xml:space="preserve">Acesso em: 1o out. 2025. </w:t>
      </w:r>
    </w:p>
    <w:p w14:paraId="71217F3A" w14:textId="77777777" w:rsidR="0003312E" w:rsidRDefault="00000000">
      <w:pPr>
        <w:pStyle w:val="NormalWeb"/>
        <w:numPr>
          <w:ilvl w:val="0"/>
          <w:numId w:val="4"/>
        </w:numPr>
        <w:spacing w:beforeAutospacing="0" w:after="0" w:afterAutospacing="0" w:line="240" w:lineRule="auto"/>
        <w:jc w:val="both"/>
        <w:rPr>
          <w:sz w:val="20"/>
          <w:szCs w:val="20"/>
          <w:lang w:val="pt-BR"/>
        </w:rPr>
      </w:pPr>
      <w:r>
        <w:rPr>
          <w:sz w:val="20"/>
          <w:szCs w:val="20"/>
        </w:rPr>
        <w:t xml:space="preserve">SHARON, Tal; KLEIN, Yael; SHARON, Ronit; SHARON, Erez. Medicine Through the Lens of Humanity: Exploring the Legacy of Oliver Sacks, the Storyteller Neurologist. </w:t>
      </w:r>
      <w:proofErr w:type="spellStart"/>
      <w:r>
        <w:rPr>
          <w:sz w:val="20"/>
          <w:szCs w:val="20"/>
          <w:lang w:val="pt-BR"/>
        </w:rPr>
        <w:t>Cureus</w:t>
      </w:r>
      <w:proofErr w:type="spellEnd"/>
      <w:r>
        <w:rPr>
          <w:sz w:val="20"/>
          <w:szCs w:val="20"/>
          <w:lang w:val="pt-BR"/>
        </w:rPr>
        <w:t>, v. 16, n. 9, p. e69593, 17 set. 2024. Disponível em: </w:t>
      </w:r>
      <w:hyperlink r:id="rId52" w:tgtFrame="_blank" w:history="1">
        <w:r>
          <w:rPr>
            <w:rStyle w:val="Hyperlink"/>
            <w:color w:val="auto"/>
            <w:sz w:val="20"/>
            <w:szCs w:val="20"/>
            <w:u w:val="none"/>
            <w:lang w:val="pt-BR"/>
          </w:rPr>
          <w:t>https://www.cureus.com/articles/287853-medicine-through-the-lens-of-humanity-exploring-the-legacy-of-oliver-sacks-the-storyteller-neurologist</w:t>
        </w:r>
      </w:hyperlink>
      <w:r>
        <w:rPr>
          <w:sz w:val="20"/>
          <w:szCs w:val="20"/>
          <w:lang w:val="pt-BR"/>
        </w:rPr>
        <w:t xml:space="preserve">.  Acesso em: 1o out. 2025. </w:t>
      </w:r>
    </w:p>
    <w:p w14:paraId="2D1ACEF4" w14:textId="77777777" w:rsidR="0003312E" w:rsidRDefault="00000000">
      <w:pPr>
        <w:pStyle w:val="NormalWeb"/>
        <w:numPr>
          <w:ilvl w:val="0"/>
          <w:numId w:val="4"/>
        </w:numPr>
        <w:spacing w:beforeAutospacing="0" w:after="0" w:afterAutospacing="0" w:line="240" w:lineRule="auto"/>
        <w:jc w:val="both"/>
        <w:rPr>
          <w:sz w:val="20"/>
          <w:szCs w:val="20"/>
          <w:lang w:val="pt-BR"/>
        </w:rPr>
      </w:pPr>
      <w:r>
        <w:rPr>
          <w:sz w:val="20"/>
          <w:szCs w:val="20"/>
          <w:lang w:val="pt-BR"/>
        </w:rPr>
        <w:t>VIARO, Mário Eduardo. Uma breve história da Etimologia. </w:t>
      </w:r>
      <w:r>
        <w:rPr>
          <w:rStyle w:val="nfase"/>
          <w:sz w:val="20"/>
          <w:szCs w:val="20"/>
          <w:lang w:val="pt-BR"/>
        </w:rPr>
        <w:t>Revista de Estudos Linguísticos</w:t>
      </w:r>
      <w:r>
        <w:rPr>
          <w:sz w:val="20"/>
          <w:szCs w:val="20"/>
          <w:lang w:val="pt-BR"/>
        </w:rPr>
        <w:t xml:space="preserve">, v. 15, n. </w:t>
      </w:r>
      <w:proofErr w:type="spellStart"/>
      <w:r>
        <w:rPr>
          <w:sz w:val="20"/>
          <w:szCs w:val="20"/>
          <w:lang w:val="pt-BR"/>
        </w:rPr>
        <w:t>spe</w:t>
      </w:r>
      <w:proofErr w:type="spellEnd"/>
      <w:r>
        <w:rPr>
          <w:sz w:val="20"/>
          <w:szCs w:val="20"/>
          <w:lang w:val="pt-BR"/>
        </w:rPr>
        <w:t xml:space="preserve">, p. 27-67, 2015. Disponível em:  </w:t>
      </w:r>
      <w:hyperlink r:id="rId53" w:history="1">
        <w:r>
          <w:rPr>
            <w:rStyle w:val="Hyperlink"/>
            <w:sz w:val="20"/>
            <w:szCs w:val="20"/>
            <w:lang w:val="pt-BR"/>
          </w:rPr>
          <w:t>http://dx.doi.org/10.11606/issn.2176-9419.v15ispep27-67</w:t>
        </w:r>
      </w:hyperlink>
      <w:r>
        <w:rPr>
          <w:sz w:val="20"/>
          <w:szCs w:val="20"/>
          <w:lang w:val="pt-BR"/>
        </w:rPr>
        <w:t xml:space="preserve">. Acesso em: 1o out. 2025. </w:t>
      </w:r>
    </w:p>
    <w:p w14:paraId="78823C48" w14:textId="77777777" w:rsidR="0003312E" w:rsidRPr="000D7094" w:rsidRDefault="00000000">
      <w:pPr>
        <w:pStyle w:val="NormalWeb"/>
        <w:numPr>
          <w:ilvl w:val="0"/>
          <w:numId w:val="4"/>
        </w:numPr>
        <w:spacing w:beforeAutospacing="0" w:after="0" w:afterAutospacing="0" w:line="240" w:lineRule="auto"/>
        <w:jc w:val="both"/>
        <w:rPr>
          <w:sz w:val="20"/>
          <w:szCs w:val="20"/>
          <w:lang w:val="pt-BR"/>
        </w:rPr>
      </w:pPr>
      <w:r>
        <w:rPr>
          <w:sz w:val="20"/>
          <w:szCs w:val="20"/>
        </w:rPr>
        <w:t xml:space="preserve">WULFF, Henrik R. The language of medicine. Journal of the Royal Society of Medicine, v. 97, n. 4, p. 187 - 188, 2004. </w:t>
      </w:r>
      <w:r>
        <w:rPr>
          <w:sz w:val="20"/>
          <w:szCs w:val="20"/>
          <w:lang w:val="pt-BR"/>
        </w:rPr>
        <w:t>Disponível em: </w:t>
      </w:r>
      <w:hyperlink r:id="rId54" w:tgtFrame="_blank" w:history="1">
        <w:r>
          <w:rPr>
            <w:rStyle w:val="Hyperlink"/>
            <w:color w:val="auto"/>
            <w:sz w:val="20"/>
            <w:szCs w:val="20"/>
            <w:u w:val="none"/>
            <w:lang w:val="pt-BR"/>
          </w:rPr>
          <w:t>https://journals.sagepub.com/doi/epdf/10.1177/014107680409700412</w:t>
        </w:r>
      </w:hyperlink>
      <w:r>
        <w:rPr>
          <w:sz w:val="20"/>
          <w:szCs w:val="20"/>
          <w:lang w:val="pt-BR"/>
        </w:rPr>
        <w:t xml:space="preserve">.  Acesso em: 1o out. 2025. </w:t>
      </w:r>
    </w:p>
    <w:p w14:paraId="374F8799" w14:textId="77777777" w:rsidR="0003312E" w:rsidRDefault="0003312E">
      <w:pPr>
        <w:spacing w:after="0" w:line="360" w:lineRule="auto"/>
        <w:ind w:firstLine="709"/>
        <w:jc w:val="both"/>
        <w:rPr>
          <w:rFonts w:ascii="Times New Roman" w:eastAsia="Segoe UI" w:hAnsi="Times New Roman" w:cs="Times New Roman"/>
          <w:sz w:val="24"/>
          <w:szCs w:val="24"/>
          <w:shd w:val="clear" w:color="auto" w:fill="FFFFFF"/>
          <w:lang w:eastAsia="zh-CN"/>
        </w:rPr>
      </w:pPr>
    </w:p>
    <w:p w14:paraId="0111D2BA" w14:textId="77777777" w:rsidR="0003312E" w:rsidRDefault="00000000">
      <w:pPr>
        <w:spacing w:after="0" w:line="360" w:lineRule="auto"/>
        <w:ind w:firstLine="709"/>
        <w:jc w:val="both"/>
        <w:rPr>
          <w:rFonts w:ascii="Times New Roman" w:eastAsia="Segoe UI" w:hAnsi="Times New Roman" w:cs="Times New Roman"/>
          <w:b/>
          <w:bCs/>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Capítulo 1</w:t>
      </w:r>
    </w:p>
    <w:p w14:paraId="23CDCA64" w14:textId="77777777" w:rsidR="0003312E" w:rsidRDefault="00000000">
      <w:pPr>
        <w:pStyle w:val="PargrafodaLista"/>
        <w:numPr>
          <w:ilvl w:val="0"/>
          <w:numId w:val="5"/>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val="en-US" w:eastAsia="zh-CN"/>
        </w:rPr>
        <w:t xml:space="preserve">BRAID, James. </w:t>
      </w:r>
      <w:proofErr w:type="spellStart"/>
      <w:r>
        <w:rPr>
          <w:rFonts w:ascii="Times New Roman" w:eastAsia="Segoe UI" w:hAnsi="Times New Roman" w:cs="Times New Roman"/>
          <w:i/>
          <w:iCs/>
          <w:sz w:val="20"/>
          <w:szCs w:val="20"/>
          <w:shd w:val="clear" w:color="auto" w:fill="FFFFFF"/>
          <w:lang w:val="en-US" w:eastAsia="zh-CN"/>
        </w:rPr>
        <w:t>Neurypnology</w:t>
      </w:r>
      <w:proofErr w:type="spellEnd"/>
      <w:r>
        <w:rPr>
          <w:rFonts w:ascii="Times New Roman" w:eastAsia="Segoe UI" w:hAnsi="Times New Roman" w:cs="Times New Roman"/>
          <w:i/>
          <w:iCs/>
          <w:sz w:val="20"/>
          <w:szCs w:val="20"/>
          <w:shd w:val="clear" w:color="auto" w:fill="FFFFFF"/>
          <w:lang w:val="en-US" w:eastAsia="zh-CN"/>
        </w:rPr>
        <w:t>: or, The rationale of nervous sleep</w:t>
      </w:r>
      <w:r>
        <w:rPr>
          <w:rFonts w:ascii="Times New Roman" w:eastAsia="Segoe UI" w:hAnsi="Times New Roman" w:cs="Times New Roman"/>
          <w:sz w:val="20"/>
          <w:szCs w:val="20"/>
          <w:shd w:val="clear" w:color="auto" w:fill="FFFFFF"/>
          <w:lang w:val="en-US" w:eastAsia="zh-CN"/>
        </w:rPr>
        <w:t xml:space="preserve">. London: John Churchill, 1843. </w:t>
      </w:r>
      <w:proofErr w:type="spellStart"/>
      <w:r>
        <w:rPr>
          <w:rFonts w:ascii="Times New Roman" w:eastAsia="Segoe UI" w:hAnsi="Times New Roman" w:cs="Times New Roman"/>
          <w:sz w:val="20"/>
          <w:szCs w:val="20"/>
          <w:shd w:val="clear" w:color="auto" w:fill="FFFFFF"/>
          <w:lang w:val="en-US" w:eastAsia="zh-CN"/>
        </w:rPr>
        <w:t>Disponível</w:t>
      </w:r>
      <w:proofErr w:type="spellEnd"/>
      <w:r>
        <w:rPr>
          <w:rFonts w:ascii="Times New Roman" w:eastAsia="Segoe UI" w:hAnsi="Times New Roman" w:cs="Times New Roman"/>
          <w:sz w:val="20"/>
          <w:szCs w:val="20"/>
          <w:shd w:val="clear" w:color="auto" w:fill="FFFFFF"/>
          <w:lang w:val="en-US" w:eastAsia="zh-CN"/>
        </w:rPr>
        <w:t xml:space="preserve"> </w:t>
      </w:r>
      <w:proofErr w:type="spellStart"/>
      <w:r>
        <w:rPr>
          <w:rFonts w:ascii="Times New Roman" w:eastAsia="Segoe UI" w:hAnsi="Times New Roman" w:cs="Times New Roman"/>
          <w:sz w:val="20"/>
          <w:szCs w:val="20"/>
          <w:shd w:val="clear" w:color="auto" w:fill="FFFFFF"/>
          <w:lang w:val="en-US" w:eastAsia="zh-CN"/>
        </w:rPr>
        <w:t>em</w:t>
      </w:r>
      <w:proofErr w:type="spellEnd"/>
      <w:r>
        <w:rPr>
          <w:rFonts w:ascii="Times New Roman" w:eastAsia="Segoe UI" w:hAnsi="Times New Roman" w:cs="Times New Roman"/>
          <w:sz w:val="20"/>
          <w:szCs w:val="20"/>
          <w:shd w:val="clear" w:color="auto" w:fill="FFFFFF"/>
          <w:lang w:val="en-US" w:eastAsia="zh-CN"/>
        </w:rPr>
        <w:t xml:space="preserve">: </w:t>
      </w:r>
      <w:hyperlink r:id="rId55" w:tgtFrame="_new" w:history="1">
        <w:r>
          <w:rPr>
            <w:rStyle w:val="Hyperlink"/>
            <w:rFonts w:ascii="Times New Roman" w:eastAsia="Segoe UI" w:hAnsi="Times New Roman" w:cs="Times New Roman"/>
            <w:color w:val="auto"/>
            <w:sz w:val="20"/>
            <w:szCs w:val="20"/>
            <w:shd w:val="clear" w:color="auto" w:fill="FFFFFF"/>
            <w:lang w:val="en-US" w:eastAsia="zh-CN"/>
          </w:rPr>
          <w:t>https://archive.org/download/braidonhypnotism00brai/braidonhypnotism00brai.pdf</w:t>
        </w:r>
      </w:hyperlink>
      <w:r>
        <w:rPr>
          <w:rFonts w:ascii="Times New Roman" w:eastAsia="Segoe UI" w:hAnsi="Times New Roman" w:cs="Times New Roman"/>
          <w:sz w:val="20"/>
          <w:szCs w:val="20"/>
          <w:shd w:val="clear" w:color="auto" w:fill="FFFFFF"/>
          <w:lang w:val="en-US" w:eastAsia="zh-CN"/>
        </w:rPr>
        <w:t xml:space="preserve">.  </w:t>
      </w:r>
      <w:r>
        <w:rPr>
          <w:rFonts w:ascii="Times New Roman" w:eastAsia="Segoe UI" w:hAnsi="Times New Roman" w:cs="Times New Roman"/>
          <w:sz w:val="20"/>
          <w:szCs w:val="20"/>
          <w:shd w:val="clear" w:color="auto" w:fill="FFFFFF"/>
          <w:lang w:eastAsia="zh-CN"/>
        </w:rPr>
        <w:t xml:space="preserve">Acesso em: 1o out. 2025. </w:t>
      </w:r>
    </w:p>
    <w:p w14:paraId="28DA273C" w14:textId="77777777" w:rsidR="0003312E" w:rsidRDefault="00000000">
      <w:pPr>
        <w:pStyle w:val="PargrafodaLista"/>
        <w:numPr>
          <w:ilvl w:val="0"/>
          <w:numId w:val="5"/>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val="en-US" w:eastAsia="zh-CN"/>
        </w:rPr>
        <w:t xml:space="preserve">BRAID, James; YEATES, Lindsay B. James Braid (I): Natural Philosopher, Structured Thinker, Gentleman Scientist, and Innovative Surgeon. </w:t>
      </w:r>
      <w:r>
        <w:rPr>
          <w:rFonts w:ascii="Times New Roman" w:eastAsia="Segoe UI" w:hAnsi="Times New Roman" w:cs="Times New Roman"/>
          <w:i/>
          <w:iCs/>
          <w:sz w:val="20"/>
          <w:szCs w:val="20"/>
          <w:shd w:val="clear" w:color="auto" w:fill="FFFFFF"/>
          <w:lang w:val="en-US" w:eastAsia="zh-CN"/>
        </w:rPr>
        <w:t>Australian Journal of Clinical Hypnotherapy and Hypnosis</w:t>
      </w:r>
      <w:r>
        <w:rPr>
          <w:rFonts w:ascii="Times New Roman" w:eastAsia="Segoe UI" w:hAnsi="Times New Roman" w:cs="Times New Roman"/>
          <w:sz w:val="20"/>
          <w:szCs w:val="20"/>
          <w:shd w:val="clear" w:color="auto" w:fill="FFFFFF"/>
          <w:lang w:val="en-US" w:eastAsia="zh-CN"/>
        </w:rPr>
        <w:t xml:space="preserve">, v. 40, n. 1, p. 5 - 28, 2018. </w:t>
      </w:r>
      <w:r>
        <w:rPr>
          <w:rFonts w:ascii="Times New Roman" w:eastAsia="Segoe UI" w:hAnsi="Times New Roman" w:cs="Times New Roman"/>
          <w:sz w:val="20"/>
          <w:szCs w:val="20"/>
          <w:shd w:val="clear" w:color="auto" w:fill="FFFFFF"/>
          <w:lang w:eastAsia="zh-CN"/>
        </w:rPr>
        <w:t xml:space="preserve">Disponível em: </w:t>
      </w:r>
      <w:hyperlink r:id="rId56" w:tgtFrame="_new" w:history="1">
        <w:r>
          <w:rPr>
            <w:rStyle w:val="Hyperlink"/>
            <w:rFonts w:ascii="Times New Roman" w:eastAsia="Segoe UI" w:hAnsi="Times New Roman" w:cs="Times New Roman"/>
            <w:color w:val="auto"/>
            <w:sz w:val="20"/>
            <w:szCs w:val="20"/>
            <w:shd w:val="clear" w:color="auto" w:fill="FFFFFF"/>
            <w:lang w:eastAsia="zh-CN"/>
          </w:rPr>
          <w:t>https://go.gale.com/ps/i.do?id=GALE%7CA663245346</w:t>
        </w:r>
      </w:hyperlink>
      <w:r>
        <w:rPr>
          <w:rFonts w:ascii="Times New Roman" w:eastAsia="Segoe UI" w:hAnsi="Times New Roman" w:cs="Times New Roman"/>
          <w:sz w:val="20"/>
          <w:szCs w:val="20"/>
          <w:shd w:val="clear" w:color="auto" w:fill="FFFFFF"/>
          <w:lang w:eastAsia="zh-CN"/>
        </w:rPr>
        <w:t xml:space="preserve">.  Acesso em: 1o out. 2025. </w:t>
      </w:r>
    </w:p>
    <w:p w14:paraId="54200405" w14:textId="77777777" w:rsidR="0003312E" w:rsidRDefault="00000000">
      <w:pPr>
        <w:pStyle w:val="PargrafodaLista"/>
        <w:numPr>
          <w:ilvl w:val="0"/>
          <w:numId w:val="5"/>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 xml:space="preserve">CNRTL-CENTRE NATIONAL DE RESSOURCES TEXTUELLES ET LEXICALES. </w:t>
      </w:r>
      <w:proofErr w:type="spellStart"/>
      <w:r>
        <w:rPr>
          <w:rFonts w:ascii="Times New Roman" w:eastAsia="Segoe UI" w:hAnsi="Times New Roman" w:cs="Times New Roman"/>
          <w:i/>
          <w:iCs/>
          <w:sz w:val="20"/>
          <w:szCs w:val="20"/>
          <w:shd w:val="clear" w:color="auto" w:fill="FFFFFF"/>
          <w:lang w:eastAsia="zh-CN"/>
        </w:rPr>
        <w:t>Trésor</w:t>
      </w:r>
      <w:proofErr w:type="spellEnd"/>
      <w:r>
        <w:rPr>
          <w:rFonts w:ascii="Times New Roman" w:eastAsia="Segoe UI" w:hAnsi="Times New Roman" w:cs="Times New Roman"/>
          <w:i/>
          <w:iCs/>
          <w:sz w:val="20"/>
          <w:szCs w:val="20"/>
          <w:shd w:val="clear" w:color="auto" w:fill="FFFFFF"/>
          <w:lang w:eastAsia="zh-CN"/>
        </w:rPr>
        <w:t xml:space="preserve"> de </w:t>
      </w:r>
      <w:proofErr w:type="spellStart"/>
      <w:r>
        <w:rPr>
          <w:rFonts w:ascii="Times New Roman" w:eastAsia="Segoe UI" w:hAnsi="Times New Roman" w:cs="Times New Roman"/>
          <w:i/>
          <w:iCs/>
          <w:sz w:val="20"/>
          <w:szCs w:val="20"/>
          <w:shd w:val="clear" w:color="auto" w:fill="FFFFFF"/>
          <w:lang w:eastAsia="zh-CN"/>
        </w:rPr>
        <w:t>la</w:t>
      </w:r>
      <w:proofErr w:type="spellEnd"/>
      <w:r>
        <w:rPr>
          <w:rFonts w:ascii="Times New Roman" w:eastAsia="Segoe UI" w:hAnsi="Times New Roman" w:cs="Times New Roman"/>
          <w:i/>
          <w:iCs/>
          <w:sz w:val="20"/>
          <w:szCs w:val="20"/>
          <w:shd w:val="clear" w:color="auto" w:fill="FFFFFF"/>
          <w:lang w:eastAsia="zh-CN"/>
        </w:rPr>
        <w:t xml:space="preserve"> Langue Française </w:t>
      </w:r>
      <w:proofErr w:type="spellStart"/>
      <w:r>
        <w:rPr>
          <w:rFonts w:ascii="Times New Roman" w:eastAsia="Segoe UI" w:hAnsi="Times New Roman" w:cs="Times New Roman"/>
          <w:i/>
          <w:iCs/>
          <w:sz w:val="20"/>
          <w:szCs w:val="20"/>
          <w:shd w:val="clear" w:color="auto" w:fill="FFFFFF"/>
          <w:lang w:eastAsia="zh-CN"/>
        </w:rPr>
        <w:t>informatisé</w:t>
      </w:r>
      <w:proofErr w:type="spellEnd"/>
      <w:r>
        <w:rPr>
          <w:rFonts w:ascii="Times New Roman" w:eastAsia="Segoe UI" w:hAnsi="Times New Roman" w:cs="Times New Roman"/>
          <w:sz w:val="20"/>
          <w:szCs w:val="20"/>
          <w:shd w:val="clear" w:color="auto" w:fill="FFFFFF"/>
          <w:lang w:eastAsia="zh-CN"/>
        </w:rPr>
        <w:t xml:space="preserve">. Nancy: CNRS, 2012. Disponível em: </w:t>
      </w:r>
      <w:r>
        <w:rPr>
          <w:rFonts w:ascii="Times New Roman" w:hAnsi="Times New Roman" w:cs="Times New Roman"/>
          <w:sz w:val="20"/>
          <w:szCs w:val="20"/>
        </w:rPr>
        <w:t>https://www.cnrtl.fr/etymologie/hypnose</w:t>
      </w:r>
      <w:r>
        <w:rPr>
          <w:rFonts w:ascii="Times New Roman" w:eastAsia="Segoe UI" w:hAnsi="Times New Roman" w:cs="Times New Roman"/>
          <w:sz w:val="20"/>
          <w:szCs w:val="20"/>
          <w:shd w:val="clear" w:color="auto" w:fill="FFFFFF"/>
          <w:lang w:eastAsia="zh-CN"/>
        </w:rPr>
        <w:t xml:space="preserve">.  Acesso em: 1o out. 2025. </w:t>
      </w:r>
    </w:p>
    <w:p w14:paraId="6B47267E" w14:textId="77777777" w:rsidR="0003312E" w:rsidRDefault="00000000">
      <w:pPr>
        <w:pStyle w:val="PargrafodaLista"/>
        <w:numPr>
          <w:ilvl w:val="0"/>
          <w:numId w:val="5"/>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 xml:space="preserve">CUNHA, Antônio Geraldo da. </w:t>
      </w:r>
      <w:r>
        <w:rPr>
          <w:rFonts w:ascii="Times New Roman" w:eastAsia="Segoe UI" w:hAnsi="Times New Roman" w:cs="Times New Roman"/>
          <w:i/>
          <w:iCs/>
          <w:sz w:val="20"/>
          <w:szCs w:val="20"/>
          <w:shd w:val="clear" w:color="auto" w:fill="FFFFFF"/>
          <w:lang w:eastAsia="zh-CN"/>
        </w:rPr>
        <w:t>Dicionário etimológico da língua portuguesa</w:t>
      </w:r>
      <w:r>
        <w:rPr>
          <w:rFonts w:ascii="Times New Roman" w:eastAsia="Segoe UI" w:hAnsi="Times New Roman" w:cs="Times New Roman"/>
          <w:sz w:val="20"/>
          <w:szCs w:val="20"/>
          <w:shd w:val="clear" w:color="auto" w:fill="FFFFFF"/>
          <w:lang w:eastAsia="zh-CN"/>
        </w:rPr>
        <w:t xml:space="preserve">. 4. ed. Rio de Janeiro: Lexikon, 2010. Disponível em: </w:t>
      </w:r>
      <w:hyperlink r:id="rId57" w:tgtFrame="_new" w:history="1">
        <w:r>
          <w:rPr>
            <w:rStyle w:val="Hyperlink"/>
            <w:rFonts w:ascii="Times New Roman" w:eastAsia="Segoe UI" w:hAnsi="Times New Roman" w:cs="Times New Roman"/>
            <w:color w:val="auto"/>
            <w:sz w:val="20"/>
            <w:szCs w:val="20"/>
            <w:shd w:val="clear" w:color="auto" w:fill="FFFFFF"/>
            <w:lang w:eastAsia="zh-CN"/>
          </w:rPr>
          <w:t>https://www.dicionarioetimologico.com.br/</w:t>
        </w:r>
      </w:hyperlink>
      <w:r>
        <w:rPr>
          <w:rFonts w:ascii="Times New Roman" w:eastAsia="Segoe UI" w:hAnsi="Times New Roman" w:cs="Times New Roman"/>
          <w:sz w:val="20"/>
          <w:szCs w:val="20"/>
          <w:shd w:val="clear" w:color="auto" w:fill="FFFFFF"/>
          <w:lang w:eastAsia="zh-CN"/>
        </w:rPr>
        <w:t xml:space="preserve">.  Acesso em: 1o out. 2025. </w:t>
      </w:r>
    </w:p>
    <w:p w14:paraId="239C9CDF" w14:textId="77777777" w:rsidR="0003312E" w:rsidRDefault="00000000">
      <w:pPr>
        <w:pStyle w:val="PargrafodaLista"/>
        <w:numPr>
          <w:ilvl w:val="0"/>
          <w:numId w:val="5"/>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val="en-US" w:eastAsia="zh-CN"/>
        </w:rPr>
        <w:t>DE BENEDITTIS, Giuseppe. Neurophysiology and neuropsychology of hypnosis. </w:t>
      </w:r>
      <w:r>
        <w:rPr>
          <w:rFonts w:ascii="Times New Roman" w:eastAsia="Segoe UI" w:hAnsi="Times New Roman" w:cs="Times New Roman"/>
          <w:i/>
          <w:iCs/>
          <w:sz w:val="20"/>
          <w:szCs w:val="20"/>
          <w:shd w:val="clear" w:color="auto" w:fill="FFFFFF"/>
          <w:lang w:eastAsia="zh-CN"/>
        </w:rPr>
        <w:t xml:space="preserve">American </w:t>
      </w:r>
      <w:proofErr w:type="spellStart"/>
      <w:r>
        <w:rPr>
          <w:rFonts w:ascii="Times New Roman" w:eastAsia="Segoe UI" w:hAnsi="Times New Roman" w:cs="Times New Roman"/>
          <w:i/>
          <w:iCs/>
          <w:sz w:val="20"/>
          <w:szCs w:val="20"/>
          <w:shd w:val="clear" w:color="auto" w:fill="FFFFFF"/>
          <w:lang w:eastAsia="zh-CN"/>
        </w:rPr>
        <w:t>Journal</w:t>
      </w:r>
      <w:proofErr w:type="spellEnd"/>
      <w:r>
        <w:rPr>
          <w:rFonts w:ascii="Times New Roman" w:eastAsia="Segoe UI" w:hAnsi="Times New Roman" w:cs="Times New Roman"/>
          <w:i/>
          <w:iCs/>
          <w:sz w:val="20"/>
          <w:szCs w:val="20"/>
          <w:shd w:val="clear" w:color="auto" w:fill="FFFFFF"/>
          <w:lang w:eastAsia="zh-CN"/>
        </w:rPr>
        <w:t xml:space="preserve"> </w:t>
      </w:r>
      <w:proofErr w:type="spellStart"/>
      <w:r>
        <w:rPr>
          <w:rFonts w:ascii="Times New Roman" w:eastAsia="Segoe UI" w:hAnsi="Times New Roman" w:cs="Times New Roman"/>
          <w:i/>
          <w:iCs/>
          <w:sz w:val="20"/>
          <w:szCs w:val="20"/>
          <w:shd w:val="clear" w:color="auto" w:fill="FFFFFF"/>
          <w:lang w:eastAsia="zh-CN"/>
        </w:rPr>
        <w:t>of</w:t>
      </w:r>
      <w:proofErr w:type="spellEnd"/>
      <w:r>
        <w:rPr>
          <w:rFonts w:ascii="Times New Roman" w:eastAsia="Segoe UI" w:hAnsi="Times New Roman" w:cs="Times New Roman"/>
          <w:i/>
          <w:iCs/>
          <w:sz w:val="20"/>
          <w:szCs w:val="20"/>
          <w:shd w:val="clear" w:color="auto" w:fill="FFFFFF"/>
          <w:lang w:eastAsia="zh-CN"/>
        </w:rPr>
        <w:t xml:space="preserve"> Clinical </w:t>
      </w:r>
      <w:proofErr w:type="spellStart"/>
      <w:r>
        <w:rPr>
          <w:rFonts w:ascii="Times New Roman" w:eastAsia="Segoe UI" w:hAnsi="Times New Roman" w:cs="Times New Roman"/>
          <w:i/>
          <w:iCs/>
          <w:sz w:val="20"/>
          <w:szCs w:val="20"/>
          <w:shd w:val="clear" w:color="auto" w:fill="FFFFFF"/>
          <w:lang w:eastAsia="zh-CN"/>
        </w:rPr>
        <w:t>Hypnosis</w:t>
      </w:r>
      <w:proofErr w:type="spellEnd"/>
      <w:r>
        <w:rPr>
          <w:rFonts w:ascii="Times New Roman" w:eastAsia="Segoe UI" w:hAnsi="Times New Roman" w:cs="Times New Roman"/>
          <w:sz w:val="20"/>
          <w:szCs w:val="20"/>
          <w:shd w:val="clear" w:color="auto" w:fill="FFFFFF"/>
          <w:lang w:eastAsia="zh-CN"/>
        </w:rPr>
        <w:t>, </w:t>
      </w:r>
      <w:r>
        <w:rPr>
          <w:rFonts w:ascii="Times New Roman" w:eastAsia="Segoe UI" w:hAnsi="Times New Roman" w:cs="Times New Roman"/>
          <w:i/>
          <w:iCs/>
          <w:sz w:val="20"/>
          <w:szCs w:val="20"/>
          <w:shd w:val="clear" w:color="auto" w:fill="FFFFFF"/>
          <w:lang w:eastAsia="zh-CN"/>
        </w:rPr>
        <w:t>63</w:t>
      </w:r>
      <w:r>
        <w:rPr>
          <w:rFonts w:ascii="Times New Roman" w:eastAsia="Segoe UI" w:hAnsi="Times New Roman" w:cs="Times New Roman"/>
          <w:sz w:val="20"/>
          <w:szCs w:val="20"/>
          <w:shd w:val="clear" w:color="auto" w:fill="FFFFFF"/>
          <w:lang w:eastAsia="zh-CN"/>
        </w:rPr>
        <w:t xml:space="preserve">(4), 291–293, 2021. Disponível em:  </w:t>
      </w:r>
      <w:hyperlink r:id="rId58" w:history="1">
        <w:r>
          <w:rPr>
            <w:rStyle w:val="Hyperlink"/>
            <w:rFonts w:ascii="Times New Roman" w:eastAsia="Segoe UI" w:hAnsi="Times New Roman" w:cs="Times New Roman"/>
            <w:color w:val="auto"/>
            <w:sz w:val="20"/>
            <w:szCs w:val="20"/>
            <w:shd w:val="clear" w:color="auto" w:fill="FFFFFF"/>
            <w:lang w:eastAsia="zh-CN"/>
          </w:rPr>
          <w:t xml:space="preserve">https://www.tandfonline.com/doi/pdf/10.1080/00029157.2021.1892411. </w:t>
        </w:r>
      </w:hyperlink>
      <w:r>
        <w:rPr>
          <w:rFonts w:ascii="Times New Roman" w:eastAsia="Segoe UI" w:hAnsi="Times New Roman" w:cs="Times New Roman"/>
          <w:sz w:val="20"/>
          <w:szCs w:val="20"/>
          <w:shd w:val="clear" w:color="auto" w:fill="FFFFFF"/>
          <w:lang w:eastAsia="zh-CN"/>
        </w:rPr>
        <w:t xml:space="preserve">  Acesso em: 1o out. 2025. </w:t>
      </w:r>
    </w:p>
    <w:p w14:paraId="4A3ADC78" w14:textId="77777777" w:rsidR="0003312E" w:rsidRDefault="00000000">
      <w:pPr>
        <w:pStyle w:val="PargrafodaLista"/>
        <w:numPr>
          <w:ilvl w:val="0"/>
          <w:numId w:val="5"/>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 xml:space="preserve">DECEL - </w:t>
      </w:r>
      <w:proofErr w:type="spellStart"/>
      <w:r>
        <w:rPr>
          <w:rFonts w:ascii="Times New Roman" w:eastAsia="Segoe UI" w:hAnsi="Times New Roman" w:cs="Times New Roman"/>
          <w:i/>
          <w:iCs/>
          <w:sz w:val="20"/>
          <w:szCs w:val="20"/>
          <w:shd w:val="clear" w:color="auto" w:fill="FFFFFF"/>
          <w:lang w:eastAsia="zh-CN"/>
        </w:rPr>
        <w:t>Diccionario</w:t>
      </w:r>
      <w:proofErr w:type="spellEnd"/>
      <w:r>
        <w:rPr>
          <w:rFonts w:ascii="Times New Roman" w:eastAsia="Segoe UI" w:hAnsi="Times New Roman" w:cs="Times New Roman"/>
          <w:i/>
          <w:iCs/>
          <w:sz w:val="20"/>
          <w:szCs w:val="20"/>
          <w:shd w:val="clear" w:color="auto" w:fill="FFFFFF"/>
          <w:lang w:eastAsia="zh-CN"/>
        </w:rPr>
        <w:t xml:space="preserve"> Etimológico Castellano </w:t>
      </w:r>
      <w:proofErr w:type="spellStart"/>
      <w:r>
        <w:rPr>
          <w:rFonts w:ascii="Times New Roman" w:eastAsia="Segoe UI" w:hAnsi="Times New Roman" w:cs="Times New Roman"/>
          <w:i/>
          <w:iCs/>
          <w:sz w:val="20"/>
          <w:szCs w:val="20"/>
          <w:shd w:val="clear" w:color="auto" w:fill="FFFFFF"/>
          <w:lang w:eastAsia="zh-CN"/>
        </w:rPr>
        <w:t>En</w:t>
      </w:r>
      <w:proofErr w:type="spellEnd"/>
      <w:r>
        <w:rPr>
          <w:rFonts w:ascii="Times New Roman" w:eastAsia="Segoe UI" w:hAnsi="Times New Roman" w:cs="Times New Roman"/>
          <w:i/>
          <w:iCs/>
          <w:sz w:val="20"/>
          <w:szCs w:val="20"/>
          <w:shd w:val="clear" w:color="auto" w:fill="FFFFFF"/>
          <w:lang w:eastAsia="zh-CN"/>
        </w:rPr>
        <w:t xml:space="preserve"> Línea</w:t>
      </w:r>
      <w:r>
        <w:rPr>
          <w:rFonts w:ascii="Times New Roman" w:eastAsia="Segoe UI" w:hAnsi="Times New Roman" w:cs="Times New Roman"/>
          <w:sz w:val="20"/>
          <w:szCs w:val="20"/>
          <w:shd w:val="clear" w:color="auto" w:fill="FFFFFF"/>
          <w:lang w:eastAsia="zh-CN"/>
        </w:rPr>
        <w:t xml:space="preserve"> - </w:t>
      </w:r>
      <w:proofErr w:type="spellStart"/>
      <w:r>
        <w:rPr>
          <w:rFonts w:ascii="Times New Roman" w:eastAsia="Segoe UI" w:hAnsi="Times New Roman" w:cs="Times New Roman"/>
          <w:sz w:val="20"/>
          <w:szCs w:val="20"/>
          <w:shd w:val="clear" w:color="auto" w:fill="FFFFFF"/>
          <w:lang w:eastAsia="zh-CN"/>
        </w:rPr>
        <w:t>DeChile</w:t>
      </w:r>
      <w:proofErr w:type="spellEnd"/>
      <w:r>
        <w:rPr>
          <w:rFonts w:ascii="Times New Roman" w:eastAsia="Segoe UI" w:hAnsi="Times New Roman" w:cs="Times New Roman"/>
          <w:sz w:val="20"/>
          <w:szCs w:val="20"/>
          <w:shd w:val="clear" w:color="auto" w:fill="FFFFFF"/>
          <w:lang w:eastAsia="zh-CN"/>
        </w:rPr>
        <w:t xml:space="preserve">. </w:t>
      </w:r>
      <w:proofErr w:type="spellStart"/>
      <w:r>
        <w:rPr>
          <w:rFonts w:ascii="Times New Roman" w:eastAsia="Segoe UI" w:hAnsi="Times New Roman" w:cs="Times New Roman"/>
          <w:sz w:val="20"/>
          <w:szCs w:val="20"/>
          <w:shd w:val="clear" w:color="auto" w:fill="FFFFFF"/>
          <w:lang w:eastAsia="zh-CN"/>
        </w:rPr>
        <w:t>Hipnosis</w:t>
      </w:r>
      <w:proofErr w:type="spellEnd"/>
      <w:r>
        <w:rPr>
          <w:rFonts w:ascii="Times New Roman" w:eastAsia="Segoe UI" w:hAnsi="Times New Roman" w:cs="Times New Roman"/>
          <w:sz w:val="20"/>
          <w:szCs w:val="20"/>
          <w:shd w:val="clear" w:color="auto" w:fill="FFFFFF"/>
          <w:lang w:eastAsia="zh-CN"/>
        </w:rPr>
        <w:t xml:space="preserve">. Disponível em: </w:t>
      </w:r>
      <w:hyperlink r:id="rId59" w:tgtFrame="_new" w:history="1">
        <w:r>
          <w:rPr>
            <w:rStyle w:val="Hyperlink"/>
            <w:rFonts w:ascii="Times New Roman" w:eastAsia="Segoe UI" w:hAnsi="Times New Roman" w:cs="Times New Roman"/>
            <w:color w:val="auto"/>
            <w:sz w:val="20"/>
            <w:szCs w:val="20"/>
            <w:shd w:val="clear" w:color="auto" w:fill="FFFFFF"/>
            <w:lang w:eastAsia="zh-CN"/>
          </w:rPr>
          <w:t>https://etimologias.dechile.net/?hipnosis</w:t>
        </w:r>
      </w:hyperlink>
      <w:r>
        <w:rPr>
          <w:rFonts w:ascii="Times New Roman" w:eastAsia="Segoe UI" w:hAnsi="Times New Roman" w:cs="Times New Roman"/>
          <w:sz w:val="20"/>
          <w:szCs w:val="20"/>
          <w:shd w:val="clear" w:color="auto" w:fill="FFFFFF"/>
          <w:lang w:eastAsia="zh-CN"/>
        </w:rPr>
        <w:t>. Acesso em: 10 set. 2025.</w:t>
      </w:r>
    </w:p>
    <w:p w14:paraId="4F28D00B" w14:textId="77777777" w:rsidR="0003312E" w:rsidRDefault="00000000">
      <w:pPr>
        <w:pStyle w:val="PargrafodaLista"/>
        <w:numPr>
          <w:ilvl w:val="0"/>
          <w:numId w:val="5"/>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val="en-US" w:eastAsia="zh-CN"/>
        </w:rPr>
        <w:t xml:space="preserve">HARPER, Douglas. </w:t>
      </w:r>
      <w:r>
        <w:rPr>
          <w:rFonts w:ascii="Times New Roman" w:eastAsia="Segoe UI" w:hAnsi="Times New Roman" w:cs="Times New Roman"/>
          <w:i/>
          <w:iCs/>
          <w:sz w:val="20"/>
          <w:szCs w:val="20"/>
          <w:shd w:val="clear" w:color="auto" w:fill="FFFFFF"/>
          <w:lang w:val="en-US" w:eastAsia="zh-CN"/>
        </w:rPr>
        <w:t>Online Etymology Dictionary</w:t>
      </w:r>
      <w:r>
        <w:rPr>
          <w:rFonts w:ascii="Times New Roman" w:eastAsia="Segoe UI" w:hAnsi="Times New Roman" w:cs="Times New Roman"/>
          <w:sz w:val="20"/>
          <w:szCs w:val="20"/>
          <w:shd w:val="clear" w:color="auto" w:fill="FFFFFF"/>
          <w:lang w:val="en-US" w:eastAsia="zh-CN"/>
        </w:rPr>
        <w:t xml:space="preserve">. </w:t>
      </w:r>
      <w:r>
        <w:rPr>
          <w:rFonts w:ascii="Times New Roman" w:eastAsia="Segoe UI" w:hAnsi="Times New Roman" w:cs="Times New Roman"/>
          <w:sz w:val="20"/>
          <w:szCs w:val="20"/>
          <w:shd w:val="clear" w:color="auto" w:fill="FFFFFF"/>
          <w:lang w:eastAsia="zh-CN"/>
        </w:rPr>
        <w:t xml:space="preserve">2001-2024. Disponível em: </w:t>
      </w:r>
      <w:r>
        <w:rPr>
          <w:rFonts w:ascii="Times New Roman" w:hAnsi="Times New Roman" w:cs="Times New Roman"/>
          <w:sz w:val="20"/>
          <w:szCs w:val="20"/>
        </w:rPr>
        <w:t>https://www.etymonline.com/search?q=hypnosis</w:t>
      </w:r>
      <w:r>
        <w:rPr>
          <w:rFonts w:ascii="Times New Roman" w:eastAsia="Segoe UI" w:hAnsi="Times New Roman" w:cs="Times New Roman"/>
          <w:sz w:val="20"/>
          <w:szCs w:val="20"/>
          <w:shd w:val="clear" w:color="auto" w:fill="FFFFFF"/>
          <w:lang w:eastAsia="zh-CN"/>
        </w:rPr>
        <w:t xml:space="preserve">.  Acesso em: 1o out. 2025. </w:t>
      </w:r>
    </w:p>
    <w:p w14:paraId="6BC217C6" w14:textId="77777777" w:rsidR="0003312E" w:rsidRDefault="00000000">
      <w:pPr>
        <w:pStyle w:val="PargrafodaLista"/>
        <w:numPr>
          <w:ilvl w:val="0"/>
          <w:numId w:val="5"/>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 xml:space="preserve">RAE-REAL ACADEMIA ESPAÑOLA. </w:t>
      </w:r>
      <w:proofErr w:type="spellStart"/>
      <w:r>
        <w:rPr>
          <w:rFonts w:ascii="Times New Roman" w:eastAsia="Segoe UI" w:hAnsi="Times New Roman" w:cs="Times New Roman"/>
          <w:i/>
          <w:iCs/>
          <w:sz w:val="20"/>
          <w:szCs w:val="20"/>
          <w:shd w:val="clear" w:color="auto" w:fill="FFFFFF"/>
          <w:lang w:eastAsia="zh-CN"/>
        </w:rPr>
        <w:t>Diccionario</w:t>
      </w:r>
      <w:proofErr w:type="spellEnd"/>
      <w:r>
        <w:rPr>
          <w:rFonts w:ascii="Times New Roman" w:eastAsia="Segoe UI" w:hAnsi="Times New Roman" w:cs="Times New Roman"/>
          <w:i/>
          <w:iCs/>
          <w:sz w:val="20"/>
          <w:szCs w:val="20"/>
          <w:shd w:val="clear" w:color="auto" w:fill="FFFFFF"/>
          <w:lang w:eastAsia="zh-CN"/>
        </w:rPr>
        <w:t xml:space="preserve"> de </w:t>
      </w:r>
      <w:proofErr w:type="spellStart"/>
      <w:r>
        <w:rPr>
          <w:rFonts w:ascii="Times New Roman" w:eastAsia="Segoe UI" w:hAnsi="Times New Roman" w:cs="Times New Roman"/>
          <w:i/>
          <w:iCs/>
          <w:sz w:val="20"/>
          <w:szCs w:val="20"/>
          <w:shd w:val="clear" w:color="auto" w:fill="FFFFFF"/>
          <w:lang w:eastAsia="zh-CN"/>
        </w:rPr>
        <w:t>la</w:t>
      </w:r>
      <w:proofErr w:type="spellEnd"/>
      <w:r>
        <w:rPr>
          <w:rFonts w:ascii="Times New Roman" w:eastAsia="Segoe UI" w:hAnsi="Times New Roman" w:cs="Times New Roman"/>
          <w:i/>
          <w:iCs/>
          <w:sz w:val="20"/>
          <w:szCs w:val="20"/>
          <w:shd w:val="clear" w:color="auto" w:fill="FFFFFF"/>
          <w:lang w:eastAsia="zh-CN"/>
        </w:rPr>
        <w:t xml:space="preserve"> </w:t>
      </w:r>
      <w:proofErr w:type="spellStart"/>
      <w:r>
        <w:rPr>
          <w:rFonts w:ascii="Times New Roman" w:eastAsia="Segoe UI" w:hAnsi="Times New Roman" w:cs="Times New Roman"/>
          <w:i/>
          <w:iCs/>
          <w:sz w:val="20"/>
          <w:szCs w:val="20"/>
          <w:shd w:val="clear" w:color="auto" w:fill="FFFFFF"/>
          <w:lang w:eastAsia="zh-CN"/>
        </w:rPr>
        <w:t>lengua</w:t>
      </w:r>
      <w:proofErr w:type="spellEnd"/>
      <w:r>
        <w:rPr>
          <w:rFonts w:ascii="Times New Roman" w:eastAsia="Segoe UI" w:hAnsi="Times New Roman" w:cs="Times New Roman"/>
          <w:i/>
          <w:iCs/>
          <w:sz w:val="20"/>
          <w:szCs w:val="20"/>
          <w:shd w:val="clear" w:color="auto" w:fill="FFFFFF"/>
          <w:lang w:eastAsia="zh-CN"/>
        </w:rPr>
        <w:t xml:space="preserve"> </w:t>
      </w:r>
      <w:proofErr w:type="spellStart"/>
      <w:r>
        <w:rPr>
          <w:rFonts w:ascii="Times New Roman" w:eastAsia="Segoe UI" w:hAnsi="Times New Roman" w:cs="Times New Roman"/>
          <w:i/>
          <w:iCs/>
          <w:sz w:val="20"/>
          <w:szCs w:val="20"/>
          <w:shd w:val="clear" w:color="auto" w:fill="FFFFFF"/>
          <w:lang w:eastAsia="zh-CN"/>
        </w:rPr>
        <w:t>española</w:t>
      </w:r>
      <w:proofErr w:type="spellEnd"/>
      <w:r>
        <w:rPr>
          <w:rFonts w:ascii="Times New Roman" w:eastAsia="Segoe UI" w:hAnsi="Times New Roman" w:cs="Times New Roman"/>
          <w:sz w:val="20"/>
          <w:szCs w:val="20"/>
          <w:shd w:val="clear" w:color="auto" w:fill="FFFFFF"/>
          <w:lang w:eastAsia="zh-CN"/>
        </w:rPr>
        <w:t xml:space="preserve">. 23. ed. [Madrid]: RAE, 2014. Disponível em: </w:t>
      </w:r>
      <w:hyperlink r:id="rId60" w:tgtFrame="_new" w:history="1">
        <w:r>
          <w:rPr>
            <w:rStyle w:val="Hyperlink"/>
            <w:rFonts w:ascii="Times New Roman" w:eastAsia="Segoe UI" w:hAnsi="Times New Roman" w:cs="Times New Roman"/>
            <w:color w:val="auto"/>
            <w:sz w:val="20"/>
            <w:szCs w:val="20"/>
            <w:shd w:val="clear" w:color="auto" w:fill="FFFFFF"/>
            <w:lang w:eastAsia="zh-CN"/>
          </w:rPr>
          <w:t>https://dle.rae.es/hipnosis?m=form/</w:t>
        </w:r>
      </w:hyperlink>
      <w:r>
        <w:rPr>
          <w:rFonts w:ascii="Times New Roman" w:eastAsia="Segoe UI" w:hAnsi="Times New Roman" w:cs="Times New Roman"/>
          <w:sz w:val="20"/>
          <w:szCs w:val="20"/>
          <w:shd w:val="clear" w:color="auto" w:fill="FFFFFF"/>
          <w:lang w:eastAsia="zh-CN"/>
        </w:rPr>
        <w:t xml:space="preserve">.  Acesso em: 1o out. 2025. </w:t>
      </w:r>
    </w:p>
    <w:p w14:paraId="101708B5" w14:textId="77777777" w:rsidR="0003312E" w:rsidRDefault="00000000">
      <w:pPr>
        <w:pStyle w:val="PargrafodaLista"/>
        <w:numPr>
          <w:ilvl w:val="0"/>
          <w:numId w:val="5"/>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val="en-US" w:eastAsia="zh-CN"/>
        </w:rPr>
        <w:t xml:space="preserve">YEATES, Lindsay B. James Braid (V): Chemical and Hypnotic </w:t>
      </w:r>
      <w:proofErr w:type="spellStart"/>
      <w:r>
        <w:rPr>
          <w:rFonts w:ascii="Times New Roman" w:eastAsia="Segoe UI" w:hAnsi="Times New Roman" w:cs="Times New Roman"/>
          <w:sz w:val="20"/>
          <w:szCs w:val="20"/>
          <w:shd w:val="clear" w:color="auto" w:fill="FFFFFF"/>
          <w:lang w:val="en-US" w:eastAsia="zh-CN"/>
        </w:rPr>
        <w:t>Anaesthesia</w:t>
      </w:r>
      <w:proofErr w:type="spellEnd"/>
      <w:r>
        <w:rPr>
          <w:rFonts w:ascii="Times New Roman" w:eastAsia="Segoe UI" w:hAnsi="Times New Roman" w:cs="Times New Roman"/>
          <w:sz w:val="20"/>
          <w:szCs w:val="20"/>
          <w:shd w:val="clear" w:color="auto" w:fill="FFFFFF"/>
          <w:lang w:val="en-US" w:eastAsia="zh-CN"/>
        </w:rPr>
        <w:t xml:space="preserve">, Psycho-Physiology, and Braid’s Final Theories. </w:t>
      </w:r>
      <w:r>
        <w:rPr>
          <w:rFonts w:ascii="Times New Roman" w:eastAsia="Segoe UI" w:hAnsi="Times New Roman" w:cs="Times New Roman"/>
          <w:i/>
          <w:iCs/>
          <w:sz w:val="20"/>
          <w:szCs w:val="20"/>
          <w:shd w:val="clear" w:color="auto" w:fill="FFFFFF"/>
          <w:lang w:eastAsia="zh-CN"/>
        </w:rPr>
        <w:t xml:space="preserve">Australian </w:t>
      </w:r>
      <w:proofErr w:type="spellStart"/>
      <w:r>
        <w:rPr>
          <w:rFonts w:ascii="Times New Roman" w:eastAsia="Segoe UI" w:hAnsi="Times New Roman" w:cs="Times New Roman"/>
          <w:i/>
          <w:iCs/>
          <w:sz w:val="20"/>
          <w:szCs w:val="20"/>
          <w:shd w:val="clear" w:color="auto" w:fill="FFFFFF"/>
          <w:lang w:eastAsia="zh-CN"/>
        </w:rPr>
        <w:t>Journal</w:t>
      </w:r>
      <w:proofErr w:type="spellEnd"/>
      <w:r>
        <w:rPr>
          <w:rFonts w:ascii="Times New Roman" w:eastAsia="Segoe UI" w:hAnsi="Times New Roman" w:cs="Times New Roman"/>
          <w:i/>
          <w:iCs/>
          <w:sz w:val="20"/>
          <w:szCs w:val="20"/>
          <w:shd w:val="clear" w:color="auto" w:fill="FFFFFF"/>
          <w:lang w:eastAsia="zh-CN"/>
        </w:rPr>
        <w:t xml:space="preserve"> </w:t>
      </w:r>
      <w:proofErr w:type="spellStart"/>
      <w:r>
        <w:rPr>
          <w:rFonts w:ascii="Times New Roman" w:eastAsia="Segoe UI" w:hAnsi="Times New Roman" w:cs="Times New Roman"/>
          <w:i/>
          <w:iCs/>
          <w:sz w:val="20"/>
          <w:szCs w:val="20"/>
          <w:shd w:val="clear" w:color="auto" w:fill="FFFFFF"/>
          <w:lang w:eastAsia="zh-CN"/>
        </w:rPr>
        <w:t>of</w:t>
      </w:r>
      <w:proofErr w:type="spellEnd"/>
      <w:r>
        <w:rPr>
          <w:rFonts w:ascii="Times New Roman" w:eastAsia="Segoe UI" w:hAnsi="Times New Roman" w:cs="Times New Roman"/>
          <w:i/>
          <w:iCs/>
          <w:sz w:val="20"/>
          <w:szCs w:val="20"/>
          <w:shd w:val="clear" w:color="auto" w:fill="FFFFFF"/>
          <w:lang w:eastAsia="zh-CN"/>
        </w:rPr>
        <w:t xml:space="preserve"> Clinical </w:t>
      </w:r>
      <w:proofErr w:type="spellStart"/>
      <w:r>
        <w:rPr>
          <w:rFonts w:ascii="Times New Roman" w:eastAsia="Segoe UI" w:hAnsi="Times New Roman" w:cs="Times New Roman"/>
          <w:i/>
          <w:iCs/>
          <w:sz w:val="20"/>
          <w:szCs w:val="20"/>
          <w:shd w:val="clear" w:color="auto" w:fill="FFFFFF"/>
          <w:lang w:eastAsia="zh-CN"/>
        </w:rPr>
        <w:t>Hypnotherapy</w:t>
      </w:r>
      <w:proofErr w:type="spellEnd"/>
      <w:r>
        <w:rPr>
          <w:rFonts w:ascii="Times New Roman" w:eastAsia="Segoe UI" w:hAnsi="Times New Roman" w:cs="Times New Roman"/>
          <w:i/>
          <w:iCs/>
          <w:sz w:val="20"/>
          <w:szCs w:val="20"/>
          <w:shd w:val="clear" w:color="auto" w:fill="FFFFFF"/>
          <w:lang w:eastAsia="zh-CN"/>
        </w:rPr>
        <w:t xml:space="preserve"> &amp; </w:t>
      </w:r>
      <w:proofErr w:type="spellStart"/>
      <w:r>
        <w:rPr>
          <w:rFonts w:ascii="Times New Roman" w:eastAsia="Segoe UI" w:hAnsi="Times New Roman" w:cs="Times New Roman"/>
          <w:i/>
          <w:iCs/>
          <w:sz w:val="20"/>
          <w:szCs w:val="20"/>
          <w:shd w:val="clear" w:color="auto" w:fill="FFFFFF"/>
          <w:lang w:eastAsia="zh-CN"/>
        </w:rPr>
        <w:t>Hypnosis</w:t>
      </w:r>
      <w:proofErr w:type="spellEnd"/>
      <w:r>
        <w:rPr>
          <w:rFonts w:ascii="Times New Roman" w:eastAsia="Segoe UI" w:hAnsi="Times New Roman" w:cs="Times New Roman"/>
          <w:sz w:val="20"/>
          <w:szCs w:val="20"/>
          <w:shd w:val="clear" w:color="auto" w:fill="FFFFFF"/>
          <w:lang w:eastAsia="zh-CN"/>
        </w:rPr>
        <w:t>, v. 40, n. 2, p. 1–36, 2018. Disponível em: https://www.researchgate.net/publication/374753886. Acesso em: 1o out. 2025.</w:t>
      </w:r>
    </w:p>
    <w:p w14:paraId="5EB5D24E" w14:textId="77777777" w:rsidR="0003312E" w:rsidRPr="000D7094" w:rsidRDefault="0003312E">
      <w:pPr>
        <w:spacing w:after="0" w:line="360" w:lineRule="auto"/>
        <w:ind w:firstLine="709"/>
        <w:jc w:val="both"/>
        <w:rPr>
          <w:rFonts w:ascii="Times New Roman" w:eastAsia="Segoe UI" w:hAnsi="Times New Roman" w:cs="Times New Roman"/>
          <w:b/>
          <w:bCs/>
          <w:sz w:val="24"/>
          <w:szCs w:val="24"/>
          <w:shd w:val="clear" w:color="auto" w:fill="FFFFFF"/>
          <w:lang w:eastAsia="zh-CN"/>
        </w:rPr>
      </w:pPr>
    </w:p>
    <w:p w14:paraId="0051F047" w14:textId="77777777" w:rsidR="0003312E" w:rsidRDefault="00000000">
      <w:pPr>
        <w:spacing w:after="0" w:line="360" w:lineRule="auto"/>
        <w:ind w:firstLine="709"/>
        <w:jc w:val="both"/>
        <w:rPr>
          <w:rFonts w:ascii="Times New Roman" w:eastAsia="Segoe UI" w:hAnsi="Times New Roman" w:cs="Times New Roman"/>
          <w:b/>
          <w:bCs/>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Capítulo 2</w:t>
      </w:r>
    </w:p>
    <w:p w14:paraId="627B8385" w14:textId="77777777" w:rsidR="0003312E" w:rsidRDefault="00000000">
      <w:pPr>
        <w:pStyle w:val="PargrafodaLista"/>
        <w:numPr>
          <w:ilvl w:val="0"/>
          <w:numId w:val="6"/>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imSun" w:hAnsi="Times New Roman" w:cs="Times New Roman"/>
          <w:sz w:val="20"/>
          <w:szCs w:val="20"/>
          <w:shd w:val="clear" w:color="auto" w:fill="FFFFFF"/>
          <w:lang w:val="en-US"/>
        </w:rPr>
        <w:t>BAYNE, Tim; HOHWY, Jakob; OWEN, Adrian M. Are there levels of consciousness?. Trends in cognitive sciences, v. 20, n. 6, p. 405-413, 2016.</w:t>
      </w:r>
      <w:r>
        <w:rPr>
          <w:rFonts w:ascii="Times New Roman" w:eastAsia="Segoe UI" w:hAnsi="Times New Roman" w:cs="Times New Roman"/>
          <w:sz w:val="20"/>
          <w:szCs w:val="20"/>
          <w:shd w:val="clear" w:color="auto" w:fill="FFFFFF"/>
          <w:lang w:val="en-US" w:eastAsia="zh-CN"/>
        </w:rPr>
        <w:t xml:space="preserve">. </w:t>
      </w:r>
      <w:proofErr w:type="spellStart"/>
      <w:r>
        <w:rPr>
          <w:rFonts w:ascii="Times New Roman" w:eastAsia="Segoe UI" w:hAnsi="Times New Roman" w:cs="Times New Roman"/>
          <w:sz w:val="20"/>
          <w:szCs w:val="20"/>
          <w:shd w:val="clear" w:color="auto" w:fill="FFFFFF"/>
          <w:lang w:val="en-US" w:eastAsia="zh-CN"/>
        </w:rPr>
        <w:t>Disponível</w:t>
      </w:r>
      <w:proofErr w:type="spellEnd"/>
      <w:r>
        <w:rPr>
          <w:rFonts w:ascii="Times New Roman" w:eastAsia="Segoe UI" w:hAnsi="Times New Roman" w:cs="Times New Roman"/>
          <w:sz w:val="20"/>
          <w:szCs w:val="20"/>
          <w:shd w:val="clear" w:color="auto" w:fill="FFFFFF"/>
          <w:lang w:val="en-US" w:eastAsia="zh-CN"/>
        </w:rPr>
        <w:t xml:space="preserve"> </w:t>
      </w:r>
      <w:proofErr w:type="spellStart"/>
      <w:r>
        <w:rPr>
          <w:rFonts w:ascii="Times New Roman" w:eastAsia="Segoe UI" w:hAnsi="Times New Roman" w:cs="Times New Roman"/>
          <w:sz w:val="20"/>
          <w:szCs w:val="20"/>
          <w:shd w:val="clear" w:color="auto" w:fill="FFFFFF"/>
          <w:lang w:val="en-US" w:eastAsia="zh-CN"/>
        </w:rPr>
        <w:t>em</w:t>
      </w:r>
      <w:proofErr w:type="spellEnd"/>
      <w:r>
        <w:rPr>
          <w:rFonts w:ascii="Times New Roman" w:eastAsia="Segoe UI" w:hAnsi="Times New Roman" w:cs="Times New Roman"/>
          <w:sz w:val="20"/>
          <w:szCs w:val="20"/>
          <w:shd w:val="clear" w:color="auto" w:fill="FFFFFF"/>
          <w:lang w:val="en-US" w:eastAsia="zh-CN"/>
        </w:rPr>
        <w:t xml:space="preserve">: </w:t>
      </w:r>
      <w:r>
        <w:rPr>
          <w:rFonts w:ascii="Times New Roman" w:hAnsi="Times New Roman" w:cs="Times New Roman"/>
          <w:sz w:val="20"/>
          <w:szCs w:val="20"/>
          <w:lang w:val="en-US"/>
        </w:rPr>
        <w:t>https://www.cell.com/trends/cognitive-sciences/fulltext/S1364-6613(16)30002-X?platform=hootsuite.</w:t>
      </w:r>
      <w:r>
        <w:rPr>
          <w:rFonts w:ascii="Times New Roman" w:eastAsia="Segoe UI" w:hAnsi="Times New Roman" w:cs="Times New Roman"/>
          <w:sz w:val="20"/>
          <w:szCs w:val="20"/>
          <w:shd w:val="clear" w:color="auto" w:fill="FFFFFF"/>
          <w:lang w:val="en-US" w:eastAsia="zh-CN"/>
        </w:rPr>
        <w:t xml:space="preserve">  </w:t>
      </w:r>
      <w:r>
        <w:rPr>
          <w:rFonts w:ascii="Times New Roman" w:eastAsia="Segoe UI" w:hAnsi="Times New Roman" w:cs="Times New Roman"/>
          <w:sz w:val="20"/>
          <w:szCs w:val="20"/>
          <w:shd w:val="clear" w:color="auto" w:fill="FFFFFF"/>
          <w:lang w:eastAsia="zh-CN"/>
        </w:rPr>
        <w:t xml:space="preserve">Acesso em: 1o out. 2025. </w:t>
      </w:r>
    </w:p>
    <w:p w14:paraId="37717A35" w14:textId="77777777" w:rsidR="0003312E" w:rsidRDefault="00000000">
      <w:pPr>
        <w:pStyle w:val="PargrafodaLista"/>
        <w:numPr>
          <w:ilvl w:val="0"/>
          <w:numId w:val="6"/>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 xml:space="preserve">CNRTL-CENTRE NATIONAL DE RESSOURCES TEXTUELLES ET LEXICALES. </w:t>
      </w:r>
      <w:proofErr w:type="spellStart"/>
      <w:r>
        <w:rPr>
          <w:rFonts w:ascii="Times New Roman" w:eastAsia="Segoe UI" w:hAnsi="Times New Roman" w:cs="Times New Roman"/>
          <w:i/>
          <w:iCs/>
          <w:sz w:val="20"/>
          <w:szCs w:val="20"/>
          <w:shd w:val="clear" w:color="auto" w:fill="FFFFFF"/>
          <w:lang w:eastAsia="zh-CN"/>
        </w:rPr>
        <w:t>Trésor</w:t>
      </w:r>
      <w:proofErr w:type="spellEnd"/>
      <w:r>
        <w:rPr>
          <w:rFonts w:ascii="Times New Roman" w:eastAsia="Segoe UI" w:hAnsi="Times New Roman" w:cs="Times New Roman"/>
          <w:i/>
          <w:iCs/>
          <w:sz w:val="20"/>
          <w:szCs w:val="20"/>
          <w:shd w:val="clear" w:color="auto" w:fill="FFFFFF"/>
          <w:lang w:eastAsia="zh-CN"/>
        </w:rPr>
        <w:t xml:space="preserve"> de </w:t>
      </w:r>
      <w:proofErr w:type="spellStart"/>
      <w:r>
        <w:rPr>
          <w:rFonts w:ascii="Times New Roman" w:eastAsia="Segoe UI" w:hAnsi="Times New Roman" w:cs="Times New Roman"/>
          <w:i/>
          <w:iCs/>
          <w:sz w:val="20"/>
          <w:szCs w:val="20"/>
          <w:shd w:val="clear" w:color="auto" w:fill="FFFFFF"/>
          <w:lang w:eastAsia="zh-CN"/>
        </w:rPr>
        <w:t>la</w:t>
      </w:r>
      <w:proofErr w:type="spellEnd"/>
      <w:r>
        <w:rPr>
          <w:rFonts w:ascii="Times New Roman" w:eastAsia="Segoe UI" w:hAnsi="Times New Roman" w:cs="Times New Roman"/>
          <w:i/>
          <w:iCs/>
          <w:sz w:val="20"/>
          <w:szCs w:val="20"/>
          <w:shd w:val="clear" w:color="auto" w:fill="FFFFFF"/>
          <w:lang w:eastAsia="zh-CN"/>
        </w:rPr>
        <w:t xml:space="preserve"> Langue Française </w:t>
      </w:r>
      <w:proofErr w:type="spellStart"/>
      <w:r>
        <w:rPr>
          <w:rFonts w:ascii="Times New Roman" w:eastAsia="Segoe UI" w:hAnsi="Times New Roman" w:cs="Times New Roman"/>
          <w:i/>
          <w:iCs/>
          <w:sz w:val="20"/>
          <w:szCs w:val="20"/>
          <w:shd w:val="clear" w:color="auto" w:fill="FFFFFF"/>
          <w:lang w:eastAsia="zh-CN"/>
        </w:rPr>
        <w:t>informatisé</w:t>
      </w:r>
      <w:proofErr w:type="spellEnd"/>
      <w:r>
        <w:rPr>
          <w:rFonts w:ascii="Times New Roman" w:eastAsia="Segoe UI" w:hAnsi="Times New Roman" w:cs="Times New Roman"/>
          <w:i/>
          <w:iCs/>
          <w:sz w:val="20"/>
          <w:szCs w:val="20"/>
          <w:shd w:val="clear" w:color="auto" w:fill="FFFFFF"/>
          <w:lang w:eastAsia="zh-CN"/>
        </w:rPr>
        <w:t>.</w:t>
      </w:r>
      <w:r>
        <w:rPr>
          <w:rFonts w:ascii="Times New Roman" w:eastAsia="Segoe UI" w:hAnsi="Times New Roman" w:cs="Times New Roman"/>
          <w:sz w:val="20"/>
          <w:szCs w:val="20"/>
          <w:shd w:val="clear" w:color="auto" w:fill="FFFFFF"/>
          <w:lang w:eastAsia="zh-CN"/>
        </w:rPr>
        <w:t xml:space="preserve"> Nancy: CNRS, 2012. Disponível em: </w:t>
      </w:r>
      <w:r>
        <w:rPr>
          <w:rFonts w:ascii="Times New Roman" w:hAnsi="Times New Roman" w:cs="Times New Roman"/>
          <w:sz w:val="20"/>
          <w:szCs w:val="20"/>
        </w:rPr>
        <w:t>https://www.cnrtl.fr/etymologie/COMA</w:t>
      </w:r>
      <w:r>
        <w:rPr>
          <w:rFonts w:ascii="Times New Roman" w:eastAsia="Segoe UI" w:hAnsi="Times New Roman" w:cs="Times New Roman"/>
          <w:sz w:val="20"/>
          <w:szCs w:val="20"/>
          <w:shd w:val="clear" w:color="auto" w:fill="FFFFFF"/>
          <w:lang w:eastAsia="zh-CN"/>
        </w:rPr>
        <w:t xml:space="preserve">.  Acesso em: 1o out. 2025. </w:t>
      </w:r>
    </w:p>
    <w:p w14:paraId="176A12E8" w14:textId="77777777" w:rsidR="0003312E" w:rsidRDefault="00000000">
      <w:pPr>
        <w:pStyle w:val="PargrafodaLista"/>
        <w:numPr>
          <w:ilvl w:val="0"/>
          <w:numId w:val="6"/>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val="en-US" w:eastAsia="zh-CN"/>
        </w:rPr>
        <w:t xml:space="preserve">CUSHING, Harvey. </w:t>
      </w:r>
      <w:r>
        <w:rPr>
          <w:rFonts w:ascii="Times New Roman" w:eastAsia="Segoe UI" w:hAnsi="Times New Roman" w:cs="Times New Roman"/>
          <w:i/>
          <w:iCs/>
          <w:sz w:val="20"/>
          <w:szCs w:val="20"/>
          <w:shd w:val="clear" w:color="auto" w:fill="FFFFFF"/>
          <w:lang w:val="en-US" w:eastAsia="zh-CN"/>
        </w:rPr>
        <w:t>The life of Sir William Osler.</w:t>
      </w:r>
      <w:r>
        <w:rPr>
          <w:rFonts w:ascii="Times New Roman" w:eastAsia="Segoe UI" w:hAnsi="Times New Roman" w:cs="Times New Roman"/>
          <w:sz w:val="20"/>
          <w:szCs w:val="20"/>
          <w:shd w:val="clear" w:color="auto" w:fill="FFFFFF"/>
          <w:lang w:val="en-US" w:eastAsia="zh-CN"/>
        </w:rPr>
        <w:t xml:space="preserve"> </w:t>
      </w:r>
      <w:r>
        <w:rPr>
          <w:rFonts w:ascii="Times New Roman" w:eastAsia="Segoe UI" w:hAnsi="Times New Roman" w:cs="Times New Roman"/>
          <w:sz w:val="20"/>
          <w:szCs w:val="20"/>
          <w:shd w:val="clear" w:color="auto" w:fill="FFFFFF"/>
          <w:lang w:eastAsia="zh-CN"/>
        </w:rPr>
        <w:t xml:space="preserve">Oxford: Clarendon Press, 1925. Disponível em: </w:t>
      </w:r>
      <w:hyperlink r:id="rId61" w:tgtFrame="_new" w:history="1">
        <w:r>
          <w:rPr>
            <w:rStyle w:val="Hyperlink"/>
            <w:rFonts w:ascii="Times New Roman" w:eastAsia="Segoe UI" w:hAnsi="Times New Roman" w:cs="Times New Roman"/>
            <w:color w:val="auto"/>
            <w:sz w:val="20"/>
            <w:szCs w:val="20"/>
            <w:shd w:val="clear" w:color="auto" w:fill="FFFFFF"/>
            <w:lang w:eastAsia="zh-CN"/>
          </w:rPr>
          <w:t>https://archive.org/details/b29825672</w:t>
        </w:r>
      </w:hyperlink>
      <w:r>
        <w:rPr>
          <w:rFonts w:ascii="Times New Roman" w:eastAsia="Segoe UI" w:hAnsi="Times New Roman" w:cs="Times New Roman"/>
          <w:sz w:val="20"/>
          <w:szCs w:val="20"/>
          <w:shd w:val="clear" w:color="auto" w:fill="FFFFFF"/>
          <w:lang w:eastAsia="zh-CN"/>
        </w:rPr>
        <w:t xml:space="preserve">.  Acesso em: 1o out. 2025. </w:t>
      </w:r>
    </w:p>
    <w:p w14:paraId="5B6404FA" w14:textId="77777777" w:rsidR="0003312E" w:rsidRDefault="00000000">
      <w:pPr>
        <w:pStyle w:val="PargrafodaLista"/>
        <w:numPr>
          <w:ilvl w:val="0"/>
          <w:numId w:val="6"/>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 xml:space="preserve">DECEL - </w:t>
      </w:r>
      <w:proofErr w:type="spellStart"/>
      <w:r>
        <w:rPr>
          <w:rFonts w:ascii="Times New Roman" w:eastAsia="Segoe UI" w:hAnsi="Times New Roman" w:cs="Times New Roman"/>
          <w:i/>
          <w:iCs/>
          <w:sz w:val="20"/>
          <w:szCs w:val="20"/>
          <w:shd w:val="clear" w:color="auto" w:fill="FFFFFF"/>
          <w:lang w:eastAsia="zh-CN"/>
        </w:rPr>
        <w:t>Diccionario</w:t>
      </w:r>
      <w:proofErr w:type="spellEnd"/>
      <w:r>
        <w:rPr>
          <w:rFonts w:ascii="Times New Roman" w:eastAsia="Segoe UI" w:hAnsi="Times New Roman" w:cs="Times New Roman"/>
          <w:i/>
          <w:iCs/>
          <w:sz w:val="20"/>
          <w:szCs w:val="20"/>
          <w:shd w:val="clear" w:color="auto" w:fill="FFFFFF"/>
          <w:lang w:eastAsia="zh-CN"/>
        </w:rPr>
        <w:t xml:space="preserve"> Etimológico Castellano </w:t>
      </w:r>
      <w:proofErr w:type="spellStart"/>
      <w:r>
        <w:rPr>
          <w:rFonts w:ascii="Times New Roman" w:eastAsia="Segoe UI" w:hAnsi="Times New Roman" w:cs="Times New Roman"/>
          <w:i/>
          <w:iCs/>
          <w:sz w:val="20"/>
          <w:szCs w:val="20"/>
          <w:shd w:val="clear" w:color="auto" w:fill="FFFFFF"/>
          <w:lang w:eastAsia="zh-CN"/>
        </w:rPr>
        <w:t>En</w:t>
      </w:r>
      <w:proofErr w:type="spellEnd"/>
      <w:r>
        <w:rPr>
          <w:rFonts w:ascii="Times New Roman" w:eastAsia="Segoe UI" w:hAnsi="Times New Roman" w:cs="Times New Roman"/>
          <w:i/>
          <w:iCs/>
          <w:sz w:val="20"/>
          <w:szCs w:val="20"/>
          <w:shd w:val="clear" w:color="auto" w:fill="FFFFFF"/>
          <w:lang w:eastAsia="zh-CN"/>
        </w:rPr>
        <w:t xml:space="preserve"> Línea - </w:t>
      </w:r>
      <w:proofErr w:type="spellStart"/>
      <w:r>
        <w:rPr>
          <w:rFonts w:ascii="Times New Roman" w:eastAsia="Segoe UI" w:hAnsi="Times New Roman" w:cs="Times New Roman"/>
          <w:i/>
          <w:iCs/>
          <w:sz w:val="20"/>
          <w:szCs w:val="20"/>
          <w:shd w:val="clear" w:color="auto" w:fill="FFFFFF"/>
          <w:lang w:eastAsia="zh-CN"/>
        </w:rPr>
        <w:t>DeChile</w:t>
      </w:r>
      <w:proofErr w:type="spellEnd"/>
      <w:r>
        <w:rPr>
          <w:rFonts w:ascii="Times New Roman" w:eastAsia="Segoe UI" w:hAnsi="Times New Roman" w:cs="Times New Roman"/>
          <w:i/>
          <w:iCs/>
          <w:sz w:val="20"/>
          <w:szCs w:val="20"/>
          <w:shd w:val="clear" w:color="auto" w:fill="FFFFFF"/>
          <w:lang w:eastAsia="zh-CN"/>
        </w:rPr>
        <w:t>.</w:t>
      </w:r>
      <w:r>
        <w:rPr>
          <w:rFonts w:ascii="Times New Roman" w:eastAsia="Segoe UI" w:hAnsi="Times New Roman" w:cs="Times New Roman"/>
          <w:sz w:val="20"/>
          <w:szCs w:val="20"/>
          <w:shd w:val="clear" w:color="auto" w:fill="FFFFFF"/>
          <w:lang w:eastAsia="zh-CN"/>
        </w:rPr>
        <w:t xml:space="preserve"> [</w:t>
      </w:r>
      <w:proofErr w:type="spellStart"/>
      <w:r>
        <w:rPr>
          <w:rFonts w:ascii="Times New Roman" w:eastAsia="Segoe UI" w:hAnsi="Times New Roman" w:cs="Times New Roman"/>
          <w:sz w:val="20"/>
          <w:szCs w:val="20"/>
          <w:shd w:val="clear" w:color="auto" w:fill="FFFFFF"/>
          <w:lang w:eastAsia="zh-CN"/>
        </w:rPr>
        <w:t>S.l</w:t>
      </w:r>
      <w:proofErr w:type="spellEnd"/>
      <w:r>
        <w:rPr>
          <w:rFonts w:ascii="Times New Roman" w:eastAsia="Segoe UI" w:hAnsi="Times New Roman" w:cs="Times New Roman"/>
          <w:sz w:val="20"/>
          <w:szCs w:val="20"/>
          <w:shd w:val="clear" w:color="auto" w:fill="FFFFFF"/>
          <w:lang w:eastAsia="zh-CN"/>
        </w:rPr>
        <w:t xml:space="preserve">.], [s.d.]. Disponível em: </w:t>
      </w:r>
      <w:r>
        <w:rPr>
          <w:rFonts w:ascii="Times New Roman" w:hAnsi="Times New Roman" w:cs="Times New Roman"/>
          <w:sz w:val="20"/>
          <w:szCs w:val="20"/>
        </w:rPr>
        <w:t>https://etimologias.dechile.net/?coma.-</w:t>
      </w:r>
      <w:r>
        <w:rPr>
          <w:rFonts w:ascii="Times New Roman" w:eastAsia="Segoe UI" w:hAnsi="Times New Roman" w:cs="Times New Roman"/>
          <w:sz w:val="20"/>
          <w:szCs w:val="20"/>
          <w:shd w:val="clear" w:color="auto" w:fill="FFFFFF"/>
          <w:lang w:eastAsia="zh-CN"/>
        </w:rPr>
        <w:t xml:space="preserve">.  Acesso em: 1o out. 2025. </w:t>
      </w:r>
    </w:p>
    <w:p w14:paraId="271FDB97" w14:textId="77777777" w:rsidR="0003312E" w:rsidRDefault="00000000">
      <w:pPr>
        <w:pStyle w:val="PargrafodaLista"/>
        <w:numPr>
          <w:ilvl w:val="0"/>
          <w:numId w:val="6"/>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val="en-US" w:eastAsia="zh-CN"/>
        </w:rPr>
        <w:lastRenderedPageBreak/>
        <w:t xml:space="preserve">DOYLE, </w:t>
      </w:r>
      <w:proofErr w:type="spellStart"/>
      <w:r>
        <w:rPr>
          <w:rFonts w:ascii="Times New Roman" w:eastAsia="Segoe UI" w:hAnsi="Times New Roman" w:cs="Times New Roman"/>
          <w:sz w:val="20"/>
          <w:szCs w:val="20"/>
          <w:shd w:val="clear" w:color="auto" w:fill="FFFFFF"/>
          <w:lang w:val="en-US" w:eastAsia="zh-CN"/>
        </w:rPr>
        <w:t>Nancileigh</w:t>
      </w:r>
      <w:proofErr w:type="spellEnd"/>
      <w:r>
        <w:rPr>
          <w:rFonts w:ascii="Times New Roman" w:eastAsia="Segoe UI" w:hAnsi="Times New Roman" w:cs="Times New Roman"/>
          <w:sz w:val="20"/>
          <w:szCs w:val="20"/>
          <w:shd w:val="clear" w:color="auto" w:fill="FFFFFF"/>
          <w:lang w:val="en-US" w:eastAsia="zh-CN"/>
        </w:rPr>
        <w:t xml:space="preserve"> M.; DOYLE, James F.; WALTER, Edward J. </w:t>
      </w:r>
      <w:r>
        <w:rPr>
          <w:rFonts w:ascii="Times New Roman" w:eastAsia="Segoe UI" w:hAnsi="Times New Roman" w:cs="Times New Roman"/>
          <w:i/>
          <w:iCs/>
          <w:sz w:val="20"/>
          <w:szCs w:val="20"/>
          <w:shd w:val="clear" w:color="auto" w:fill="FFFFFF"/>
          <w:lang w:val="en-US" w:eastAsia="zh-CN"/>
        </w:rPr>
        <w:t>The life and work of Harvey Cushing 1869 - 1939: A pioneer of neurosurgery.</w:t>
      </w:r>
      <w:r>
        <w:rPr>
          <w:rFonts w:ascii="Times New Roman" w:eastAsia="Segoe UI" w:hAnsi="Times New Roman" w:cs="Times New Roman"/>
          <w:sz w:val="20"/>
          <w:szCs w:val="20"/>
          <w:shd w:val="clear" w:color="auto" w:fill="FFFFFF"/>
          <w:lang w:val="en-US" w:eastAsia="zh-CN"/>
        </w:rPr>
        <w:t xml:space="preserve"> </w:t>
      </w:r>
      <w:r>
        <w:rPr>
          <w:rFonts w:ascii="Times New Roman" w:eastAsia="Segoe UI" w:hAnsi="Times New Roman" w:cs="Times New Roman"/>
          <w:i/>
          <w:iCs/>
          <w:sz w:val="20"/>
          <w:szCs w:val="20"/>
          <w:shd w:val="clear" w:color="auto" w:fill="FFFFFF"/>
          <w:lang w:val="en-US" w:eastAsia="zh-CN"/>
        </w:rPr>
        <w:t>Journal of the Intensive Care Society</w:t>
      </w:r>
      <w:r>
        <w:rPr>
          <w:rFonts w:ascii="Times New Roman" w:eastAsia="Segoe UI" w:hAnsi="Times New Roman" w:cs="Times New Roman"/>
          <w:sz w:val="20"/>
          <w:szCs w:val="20"/>
          <w:shd w:val="clear" w:color="auto" w:fill="FFFFFF"/>
          <w:lang w:val="en-US" w:eastAsia="zh-CN"/>
        </w:rPr>
        <w:t xml:space="preserve">, v. 18, n. 2, p. 157-158, 2017. </w:t>
      </w:r>
      <w:proofErr w:type="spellStart"/>
      <w:r>
        <w:rPr>
          <w:rFonts w:ascii="Times New Roman" w:eastAsia="Segoe UI" w:hAnsi="Times New Roman" w:cs="Times New Roman"/>
          <w:sz w:val="20"/>
          <w:szCs w:val="20"/>
          <w:shd w:val="clear" w:color="auto" w:fill="FFFFFF"/>
          <w:lang w:val="en-US" w:eastAsia="zh-CN"/>
        </w:rPr>
        <w:t>Disponível</w:t>
      </w:r>
      <w:proofErr w:type="spellEnd"/>
      <w:r>
        <w:rPr>
          <w:rFonts w:ascii="Times New Roman" w:eastAsia="Segoe UI" w:hAnsi="Times New Roman" w:cs="Times New Roman"/>
          <w:sz w:val="20"/>
          <w:szCs w:val="20"/>
          <w:shd w:val="clear" w:color="auto" w:fill="FFFFFF"/>
          <w:lang w:val="en-US" w:eastAsia="zh-CN"/>
        </w:rPr>
        <w:t xml:space="preserve"> </w:t>
      </w:r>
      <w:proofErr w:type="spellStart"/>
      <w:r>
        <w:rPr>
          <w:rFonts w:ascii="Times New Roman" w:eastAsia="Segoe UI" w:hAnsi="Times New Roman" w:cs="Times New Roman"/>
          <w:sz w:val="20"/>
          <w:szCs w:val="20"/>
          <w:shd w:val="clear" w:color="auto" w:fill="FFFFFF"/>
          <w:lang w:val="en-US" w:eastAsia="zh-CN"/>
        </w:rPr>
        <w:t>em</w:t>
      </w:r>
      <w:proofErr w:type="spellEnd"/>
      <w:r>
        <w:rPr>
          <w:rFonts w:ascii="Times New Roman" w:eastAsia="Segoe UI" w:hAnsi="Times New Roman" w:cs="Times New Roman"/>
          <w:sz w:val="20"/>
          <w:szCs w:val="20"/>
          <w:shd w:val="clear" w:color="auto" w:fill="FFFFFF"/>
          <w:lang w:val="en-US" w:eastAsia="zh-CN"/>
        </w:rPr>
        <w:t xml:space="preserve">: </w:t>
      </w:r>
      <w:r>
        <w:rPr>
          <w:rFonts w:ascii="Times New Roman" w:hAnsi="Times New Roman" w:cs="Times New Roman"/>
          <w:sz w:val="20"/>
          <w:szCs w:val="20"/>
          <w:lang w:val="en-US"/>
        </w:rPr>
        <w:t>https://journals.sagepub.com/doi/pdf/10.1177/1751143716673076</w:t>
      </w:r>
      <w:r>
        <w:rPr>
          <w:rFonts w:ascii="Times New Roman" w:eastAsia="Segoe UI" w:hAnsi="Times New Roman" w:cs="Times New Roman"/>
          <w:sz w:val="20"/>
          <w:szCs w:val="20"/>
          <w:shd w:val="clear" w:color="auto" w:fill="FFFFFF"/>
          <w:lang w:val="en-US" w:eastAsia="zh-CN"/>
        </w:rPr>
        <w:t xml:space="preserve">.  </w:t>
      </w:r>
      <w:r>
        <w:rPr>
          <w:rFonts w:ascii="Times New Roman" w:eastAsia="Segoe UI" w:hAnsi="Times New Roman" w:cs="Times New Roman"/>
          <w:sz w:val="20"/>
          <w:szCs w:val="20"/>
          <w:shd w:val="clear" w:color="auto" w:fill="FFFFFF"/>
          <w:lang w:eastAsia="zh-CN"/>
        </w:rPr>
        <w:t xml:space="preserve">Acesso em: 1o out. 2025. </w:t>
      </w:r>
    </w:p>
    <w:p w14:paraId="0C37F17F" w14:textId="77777777" w:rsidR="0003312E" w:rsidRDefault="00000000">
      <w:pPr>
        <w:pStyle w:val="PargrafodaLista"/>
        <w:numPr>
          <w:ilvl w:val="0"/>
          <w:numId w:val="6"/>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val="en-US" w:eastAsia="zh-CN"/>
        </w:rPr>
        <w:t xml:space="preserve">HARPER, Douglas. </w:t>
      </w:r>
      <w:r>
        <w:rPr>
          <w:rFonts w:ascii="Times New Roman" w:eastAsia="Segoe UI" w:hAnsi="Times New Roman" w:cs="Times New Roman"/>
          <w:i/>
          <w:iCs/>
          <w:sz w:val="20"/>
          <w:szCs w:val="20"/>
          <w:shd w:val="clear" w:color="auto" w:fill="FFFFFF"/>
          <w:lang w:val="en-US" w:eastAsia="zh-CN"/>
        </w:rPr>
        <w:t>Coma.</w:t>
      </w:r>
      <w:r>
        <w:rPr>
          <w:rFonts w:ascii="Times New Roman" w:eastAsia="Segoe UI" w:hAnsi="Times New Roman" w:cs="Times New Roman"/>
          <w:sz w:val="20"/>
          <w:szCs w:val="20"/>
          <w:shd w:val="clear" w:color="auto" w:fill="FFFFFF"/>
          <w:lang w:val="en-US" w:eastAsia="zh-CN"/>
        </w:rPr>
        <w:t xml:space="preserve"> Online Etymology Dictionary, [</w:t>
      </w:r>
      <w:proofErr w:type="spellStart"/>
      <w:r>
        <w:rPr>
          <w:rFonts w:ascii="Times New Roman" w:eastAsia="Segoe UI" w:hAnsi="Times New Roman" w:cs="Times New Roman"/>
          <w:sz w:val="20"/>
          <w:szCs w:val="20"/>
          <w:shd w:val="clear" w:color="auto" w:fill="FFFFFF"/>
          <w:lang w:val="en-US" w:eastAsia="zh-CN"/>
        </w:rPr>
        <w:t>S.l.</w:t>
      </w:r>
      <w:proofErr w:type="spellEnd"/>
      <w:r>
        <w:rPr>
          <w:rFonts w:ascii="Times New Roman" w:eastAsia="Segoe UI" w:hAnsi="Times New Roman" w:cs="Times New Roman"/>
          <w:sz w:val="20"/>
          <w:szCs w:val="20"/>
          <w:shd w:val="clear" w:color="auto" w:fill="FFFFFF"/>
          <w:lang w:val="en-US" w:eastAsia="zh-CN"/>
        </w:rPr>
        <w:t>], [</w:t>
      </w:r>
      <w:proofErr w:type="spellStart"/>
      <w:r>
        <w:rPr>
          <w:rFonts w:ascii="Times New Roman" w:eastAsia="Segoe UI" w:hAnsi="Times New Roman" w:cs="Times New Roman"/>
          <w:sz w:val="20"/>
          <w:szCs w:val="20"/>
          <w:shd w:val="clear" w:color="auto" w:fill="FFFFFF"/>
          <w:lang w:val="en-US" w:eastAsia="zh-CN"/>
        </w:rPr>
        <w:t>s.d.</w:t>
      </w:r>
      <w:proofErr w:type="spellEnd"/>
      <w:r>
        <w:rPr>
          <w:rFonts w:ascii="Times New Roman" w:eastAsia="Segoe UI" w:hAnsi="Times New Roman" w:cs="Times New Roman"/>
          <w:sz w:val="20"/>
          <w:szCs w:val="20"/>
          <w:shd w:val="clear" w:color="auto" w:fill="FFFFFF"/>
          <w:lang w:val="en-US" w:eastAsia="zh-CN"/>
        </w:rPr>
        <w:t xml:space="preserve">]. </w:t>
      </w:r>
      <w:r>
        <w:rPr>
          <w:rFonts w:ascii="Times New Roman" w:eastAsia="Segoe UI" w:hAnsi="Times New Roman" w:cs="Times New Roman"/>
          <w:sz w:val="20"/>
          <w:szCs w:val="20"/>
          <w:shd w:val="clear" w:color="auto" w:fill="FFFFFF"/>
          <w:lang w:eastAsia="zh-CN"/>
        </w:rPr>
        <w:t xml:space="preserve">Disponível em: </w:t>
      </w:r>
      <w:hyperlink r:id="rId62" w:tgtFrame="_new" w:history="1">
        <w:r>
          <w:rPr>
            <w:rStyle w:val="Hyperlink"/>
            <w:rFonts w:ascii="Times New Roman" w:eastAsia="Segoe UI" w:hAnsi="Times New Roman" w:cs="Times New Roman"/>
            <w:color w:val="auto"/>
            <w:sz w:val="20"/>
            <w:szCs w:val="20"/>
            <w:shd w:val="clear" w:color="auto" w:fill="FFFFFF"/>
            <w:lang w:eastAsia="zh-CN"/>
          </w:rPr>
          <w:t>https://www.etymonline.com/word/coma</w:t>
        </w:r>
      </w:hyperlink>
      <w:r>
        <w:rPr>
          <w:rFonts w:ascii="Times New Roman" w:eastAsia="Segoe UI" w:hAnsi="Times New Roman" w:cs="Times New Roman"/>
          <w:sz w:val="20"/>
          <w:szCs w:val="20"/>
          <w:shd w:val="clear" w:color="auto" w:fill="FFFFFF"/>
          <w:lang w:eastAsia="zh-CN"/>
        </w:rPr>
        <w:t xml:space="preserve">.  Acesso em: 1o out. 2025. </w:t>
      </w:r>
    </w:p>
    <w:p w14:paraId="59384D1B" w14:textId="77777777" w:rsidR="0003312E" w:rsidRDefault="00000000">
      <w:pPr>
        <w:pStyle w:val="PargrafodaLista"/>
        <w:numPr>
          <w:ilvl w:val="0"/>
          <w:numId w:val="6"/>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imSun" w:hAnsi="Times New Roman" w:cs="Times New Roman"/>
          <w:color w:val="222222"/>
          <w:sz w:val="20"/>
          <w:szCs w:val="20"/>
          <w:shd w:val="clear" w:color="auto" w:fill="FFFFFF"/>
          <w:lang w:val="en-US"/>
        </w:rPr>
        <w:t>KOEHLER, Peter J.; WIJDICKS, Eelco FM. Historical study of coma: looking back through medical and neurological texts. </w:t>
      </w:r>
      <w:proofErr w:type="spellStart"/>
      <w:r>
        <w:rPr>
          <w:rFonts w:ascii="Times New Roman" w:eastAsia="SimSun" w:hAnsi="Times New Roman" w:cs="Times New Roman"/>
          <w:b/>
          <w:bCs/>
          <w:color w:val="222222"/>
          <w:sz w:val="20"/>
          <w:szCs w:val="20"/>
          <w:shd w:val="clear" w:color="auto" w:fill="FFFFFF"/>
        </w:rPr>
        <w:t>Brain</w:t>
      </w:r>
      <w:proofErr w:type="spellEnd"/>
      <w:r>
        <w:rPr>
          <w:rFonts w:ascii="Times New Roman" w:eastAsia="SimSun" w:hAnsi="Times New Roman" w:cs="Times New Roman"/>
          <w:color w:val="222222"/>
          <w:sz w:val="20"/>
          <w:szCs w:val="20"/>
          <w:shd w:val="clear" w:color="auto" w:fill="FFFFFF"/>
        </w:rPr>
        <w:t>, v. 131, n. 3, p. 877-889, 2008.</w:t>
      </w:r>
      <w:r>
        <w:rPr>
          <w:rFonts w:ascii="Times New Roman" w:eastAsia="Segoe UI" w:hAnsi="Times New Roman" w:cs="Times New Roman"/>
          <w:sz w:val="20"/>
          <w:szCs w:val="20"/>
          <w:shd w:val="clear" w:color="auto" w:fill="FFFFFF"/>
          <w:lang w:eastAsia="zh-CN"/>
        </w:rPr>
        <w:t xml:space="preserve">Disponível em: </w:t>
      </w:r>
      <w:proofErr w:type="gramStart"/>
      <w:r>
        <w:rPr>
          <w:rFonts w:ascii="Times New Roman" w:eastAsia="Segoe UI" w:hAnsi="Times New Roman" w:cs="Times New Roman"/>
          <w:sz w:val="20"/>
          <w:szCs w:val="20"/>
          <w:shd w:val="clear" w:color="auto" w:fill="FFFFFF"/>
          <w:lang w:eastAsia="zh-CN"/>
        </w:rPr>
        <w:t>https://www.researchgate.net/publication/5642567_Historical_study_of_coma_Looking_back_through_medical_and_neurological_texts  Acesso</w:t>
      </w:r>
      <w:proofErr w:type="gramEnd"/>
      <w:r>
        <w:rPr>
          <w:rFonts w:ascii="Times New Roman" w:eastAsia="Segoe UI" w:hAnsi="Times New Roman" w:cs="Times New Roman"/>
          <w:sz w:val="20"/>
          <w:szCs w:val="20"/>
          <w:shd w:val="clear" w:color="auto" w:fill="FFFFFF"/>
          <w:lang w:eastAsia="zh-CN"/>
        </w:rPr>
        <w:t xml:space="preserve"> em: 1o out. 2025.</w:t>
      </w:r>
    </w:p>
    <w:p w14:paraId="5FF2F8F2" w14:textId="77777777" w:rsidR="0003312E" w:rsidRDefault="00000000">
      <w:pPr>
        <w:pStyle w:val="PargrafodaLista"/>
        <w:numPr>
          <w:ilvl w:val="0"/>
          <w:numId w:val="5"/>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Style w:val="Forte"/>
          <w:rFonts w:ascii="Times New Roman" w:eastAsia="Segoe UI" w:hAnsi="Times New Roman" w:cs="Times New Roman"/>
          <w:b w:val="0"/>
          <w:bCs w:val="0"/>
          <w:sz w:val="20"/>
          <w:szCs w:val="20"/>
          <w:shd w:val="clear" w:color="auto" w:fill="FFFFFF"/>
          <w:lang w:val="en-US"/>
        </w:rPr>
        <w:t>LEWIS, Charlton T.; SHORT, Charles.</w:t>
      </w:r>
      <w:r>
        <w:rPr>
          <w:rFonts w:ascii="Times New Roman" w:eastAsia="Segoe UI" w:hAnsi="Times New Roman" w:cs="Times New Roman"/>
          <w:sz w:val="20"/>
          <w:szCs w:val="20"/>
          <w:shd w:val="clear" w:color="auto" w:fill="FFFFFF"/>
          <w:lang w:val="en-US"/>
        </w:rPr>
        <w:t> </w:t>
      </w:r>
      <w:r>
        <w:rPr>
          <w:rStyle w:val="nfase"/>
          <w:rFonts w:ascii="Times New Roman" w:eastAsia="Segoe UI" w:hAnsi="Times New Roman" w:cs="Times New Roman"/>
          <w:sz w:val="20"/>
          <w:szCs w:val="20"/>
          <w:shd w:val="clear" w:color="auto" w:fill="FFFFFF"/>
          <w:lang w:val="en-US"/>
        </w:rPr>
        <w:t>A Latin Dictionary.</w:t>
      </w:r>
      <w:r>
        <w:rPr>
          <w:rFonts w:ascii="Times New Roman" w:eastAsia="Segoe UI" w:hAnsi="Times New Roman" w:cs="Times New Roman"/>
          <w:sz w:val="20"/>
          <w:szCs w:val="20"/>
          <w:shd w:val="clear" w:color="auto" w:fill="FFFFFF"/>
          <w:lang w:val="en-US"/>
        </w:rPr>
        <w:t xml:space="preserve"> Oxford: Clarendon Press, 1879. </w:t>
      </w:r>
      <w:r>
        <w:rPr>
          <w:rFonts w:ascii="Times New Roman" w:eastAsia="Segoe UI" w:hAnsi="Times New Roman" w:cs="Times New Roman"/>
          <w:sz w:val="20"/>
          <w:szCs w:val="20"/>
          <w:shd w:val="clear" w:color="auto" w:fill="FFFFFF"/>
        </w:rPr>
        <w:t xml:space="preserve">Disponível em: https://www.perseus.tufts.edu/hopper/searchresults?target=en&amp;all_words=coma&amp;phrase=&amp;any_words=&amp;exclude_words=&amp;documents=. </w:t>
      </w:r>
      <w:r>
        <w:rPr>
          <w:rFonts w:ascii="Times New Roman" w:eastAsia="Segoe UI" w:hAnsi="Times New Roman" w:cs="Times New Roman"/>
          <w:sz w:val="20"/>
          <w:szCs w:val="20"/>
          <w:shd w:val="clear" w:color="auto" w:fill="FFFFFF"/>
          <w:lang w:eastAsia="zh-CN"/>
        </w:rPr>
        <w:t>Acesso em: 1o out. 2025.</w:t>
      </w:r>
    </w:p>
    <w:p w14:paraId="07454A96" w14:textId="77777777" w:rsidR="0003312E" w:rsidRDefault="00000000">
      <w:pPr>
        <w:pStyle w:val="PargrafodaLista"/>
        <w:numPr>
          <w:ilvl w:val="0"/>
          <w:numId w:val="6"/>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 xml:space="preserve">RAE-REAL ACADEMIA ESPAÑOLA. </w:t>
      </w:r>
      <w:proofErr w:type="spellStart"/>
      <w:r>
        <w:rPr>
          <w:rFonts w:ascii="Times New Roman" w:eastAsia="Segoe UI" w:hAnsi="Times New Roman" w:cs="Times New Roman"/>
          <w:i/>
          <w:iCs/>
          <w:sz w:val="20"/>
          <w:szCs w:val="20"/>
          <w:shd w:val="clear" w:color="auto" w:fill="FFFFFF"/>
          <w:lang w:eastAsia="zh-CN"/>
        </w:rPr>
        <w:t>Diccionario</w:t>
      </w:r>
      <w:proofErr w:type="spellEnd"/>
      <w:r>
        <w:rPr>
          <w:rFonts w:ascii="Times New Roman" w:eastAsia="Segoe UI" w:hAnsi="Times New Roman" w:cs="Times New Roman"/>
          <w:i/>
          <w:iCs/>
          <w:sz w:val="20"/>
          <w:szCs w:val="20"/>
          <w:shd w:val="clear" w:color="auto" w:fill="FFFFFF"/>
          <w:lang w:eastAsia="zh-CN"/>
        </w:rPr>
        <w:t xml:space="preserve"> de </w:t>
      </w:r>
      <w:proofErr w:type="spellStart"/>
      <w:r>
        <w:rPr>
          <w:rFonts w:ascii="Times New Roman" w:eastAsia="Segoe UI" w:hAnsi="Times New Roman" w:cs="Times New Roman"/>
          <w:i/>
          <w:iCs/>
          <w:sz w:val="20"/>
          <w:szCs w:val="20"/>
          <w:shd w:val="clear" w:color="auto" w:fill="FFFFFF"/>
          <w:lang w:eastAsia="zh-CN"/>
        </w:rPr>
        <w:t>la</w:t>
      </w:r>
      <w:proofErr w:type="spellEnd"/>
      <w:r>
        <w:rPr>
          <w:rFonts w:ascii="Times New Roman" w:eastAsia="Segoe UI" w:hAnsi="Times New Roman" w:cs="Times New Roman"/>
          <w:i/>
          <w:iCs/>
          <w:sz w:val="20"/>
          <w:szCs w:val="20"/>
          <w:shd w:val="clear" w:color="auto" w:fill="FFFFFF"/>
          <w:lang w:eastAsia="zh-CN"/>
        </w:rPr>
        <w:t xml:space="preserve"> </w:t>
      </w:r>
      <w:proofErr w:type="spellStart"/>
      <w:r>
        <w:rPr>
          <w:rFonts w:ascii="Times New Roman" w:eastAsia="Segoe UI" w:hAnsi="Times New Roman" w:cs="Times New Roman"/>
          <w:i/>
          <w:iCs/>
          <w:sz w:val="20"/>
          <w:szCs w:val="20"/>
          <w:shd w:val="clear" w:color="auto" w:fill="FFFFFF"/>
          <w:lang w:eastAsia="zh-CN"/>
        </w:rPr>
        <w:t>lengua</w:t>
      </w:r>
      <w:proofErr w:type="spellEnd"/>
      <w:r>
        <w:rPr>
          <w:rFonts w:ascii="Times New Roman" w:eastAsia="Segoe UI" w:hAnsi="Times New Roman" w:cs="Times New Roman"/>
          <w:i/>
          <w:iCs/>
          <w:sz w:val="20"/>
          <w:szCs w:val="20"/>
          <w:shd w:val="clear" w:color="auto" w:fill="FFFFFF"/>
          <w:lang w:eastAsia="zh-CN"/>
        </w:rPr>
        <w:t xml:space="preserve"> </w:t>
      </w:r>
      <w:proofErr w:type="spellStart"/>
      <w:r>
        <w:rPr>
          <w:rFonts w:ascii="Times New Roman" w:eastAsia="Segoe UI" w:hAnsi="Times New Roman" w:cs="Times New Roman"/>
          <w:i/>
          <w:iCs/>
          <w:sz w:val="20"/>
          <w:szCs w:val="20"/>
          <w:shd w:val="clear" w:color="auto" w:fill="FFFFFF"/>
          <w:lang w:eastAsia="zh-CN"/>
        </w:rPr>
        <w:t>española</w:t>
      </w:r>
      <w:proofErr w:type="spellEnd"/>
      <w:r>
        <w:rPr>
          <w:rFonts w:ascii="Times New Roman" w:eastAsia="Segoe UI" w:hAnsi="Times New Roman" w:cs="Times New Roman"/>
          <w:i/>
          <w:iCs/>
          <w:sz w:val="20"/>
          <w:szCs w:val="20"/>
          <w:shd w:val="clear" w:color="auto" w:fill="FFFFFF"/>
          <w:lang w:eastAsia="zh-CN"/>
        </w:rPr>
        <w:t>.</w:t>
      </w:r>
      <w:r>
        <w:rPr>
          <w:rFonts w:ascii="Times New Roman" w:eastAsia="Segoe UI" w:hAnsi="Times New Roman" w:cs="Times New Roman"/>
          <w:sz w:val="20"/>
          <w:szCs w:val="20"/>
          <w:shd w:val="clear" w:color="auto" w:fill="FFFFFF"/>
          <w:lang w:eastAsia="zh-CN"/>
        </w:rPr>
        <w:t xml:space="preserve"> 23. ed. [Madrid]: RAE, 2014. Disponível em: </w:t>
      </w:r>
      <w:r>
        <w:rPr>
          <w:rFonts w:ascii="Times New Roman" w:hAnsi="Times New Roman" w:cs="Times New Roman"/>
          <w:sz w:val="20"/>
          <w:szCs w:val="20"/>
        </w:rPr>
        <w:t>https://dle.rae.es/coma?m=form</w:t>
      </w:r>
      <w:r>
        <w:rPr>
          <w:rFonts w:ascii="Times New Roman" w:eastAsia="Segoe UI" w:hAnsi="Times New Roman" w:cs="Times New Roman"/>
          <w:sz w:val="20"/>
          <w:szCs w:val="20"/>
          <w:shd w:val="clear" w:color="auto" w:fill="FFFFFF"/>
          <w:lang w:eastAsia="zh-CN"/>
        </w:rPr>
        <w:t>.  Acesso em: 1o out. 2025.</w:t>
      </w:r>
    </w:p>
    <w:p w14:paraId="084B1AD6" w14:textId="77777777" w:rsidR="0003312E" w:rsidRDefault="0003312E">
      <w:pPr>
        <w:shd w:val="clear" w:color="auto" w:fill="FFFFFF"/>
        <w:spacing w:after="0" w:line="360" w:lineRule="auto"/>
        <w:ind w:firstLine="709"/>
        <w:jc w:val="both"/>
        <w:rPr>
          <w:rFonts w:ascii="Times New Roman" w:eastAsia="Times New Roman" w:hAnsi="Times New Roman" w:cs="Times New Roman"/>
          <w:b/>
          <w:bCs/>
          <w:color w:val="0F1115"/>
          <w:kern w:val="0"/>
          <w:sz w:val="24"/>
          <w:szCs w:val="24"/>
          <w:lang w:eastAsia="pt-BR"/>
          <w14:ligatures w14:val="none"/>
        </w:rPr>
      </w:pPr>
    </w:p>
    <w:p w14:paraId="44513C03"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val="en-US" w:eastAsia="pt-BR"/>
          <w14:ligatures w14:val="none"/>
        </w:rPr>
      </w:pPr>
      <w:proofErr w:type="spellStart"/>
      <w:r>
        <w:rPr>
          <w:rFonts w:ascii="Times New Roman" w:eastAsia="Times New Roman" w:hAnsi="Times New Roman" w:cs="Times New Roman"/>
          <w:b/>
          <w:bCs/>
          <w:color w:val="0F1115"/>
          <w:kern w:val="0"/>
          <w:sz w:val="24"/>
          <w:szCs w:val="24"/>
          <w:lang w:val="en-US" w:eastAsia="pt-BR"/>
          <w14:ligatures w14:val="none"/>
        </w:rPr>
        <w:t>Capítulo</w:t>
      </w:r>
      <w:proofErr w:type="spellEnd"/>
      <w:r>
        <w:rPr>
          <w:rFonts w:ascii="Times New Roman" w:eastAsia="Times New Roman" w:hAnsi="Times New Roman" w:cs="Times New Roman"/>
          <w:b/>
          <w:bCs/>
          <w:color w:val="0F1115"/>
          <w:kern w:val="0"/>
          <w:sz w:val="24"/>
          <w:szCs w:val="24"/>
          <w:lang w:val="en-US" w:eastAsia="pt-BR"/>
          <w14:ligatures w14:val="none"/>
        </w:rPr>
        <w:t xml:space="preserve"> 3</w:t>
      </w:r>
    </w:p>
    <w:p w14:paraId="7B7828BC" w14:textId="77777777" w:rsidR="0003312E" w:rsidRDefault="00000000">
      <w:pPr>
        <w:pStyle w:val="NormalWeb"/>
        <w:numPr>
          <w:ilvl w:val="0"/>
          <w:numId w:val="7"/>
        </w:numPr>
        <w:spacing w:beforeAutospacing="0" w:after="0" w:afterAutospacing="0" w:line="240" w:lineRule="auto"/>
        <w:ind w:left="0" w:firstLine="0"/>
        <w:jc w:val="both"/>
        <w:rPr>
          <w:rFonts w:eastAsia="Segoe UI"/>
          <w:sz w:val="20"/>
          <w:szCs w:val="20"/>
          <w:shd w:val="clear" w:color="auto" w:fill="FFFFFF"/>
          <w:lang w:val="pt-BR"/>
        </w:rPr>
      </w:pPr>
      <w:r>
        <w:rPr>
          <w:rFonts w:eastAsia="Segoe UI"/>
          <w:sz w:val="20"/>
          <w:szCs w:val="20"/>
          <w:shd w:val="clear" w:color="auto" w:fill="FFFFFF"/>
          <w:lang w:val="pt-BR"/>
        </w:rPr>
        <w:t xml:space="preserve">CNRTL-CENTRE NATIONAL DE RESSOURCES TEXTUELLES ET LEXICALES. </w:t>
      </w:r>
      <w:proofErr w:type="spellStart"/>
      <w:r>
        <w:rPr>
          <w:rFonts w:eastAsia="Segoe UI"/>
          <w:sz w:val="20"/>
          <w:szCs w:val="20"/>
          <w:shd w:val="clear" w:color="auto" w:fill="FFFFFF"/>
          <w:lang w:val="pt-BR"/>
        </w:rPr>
        <w:t>Trésor</w:t>
      </w:r>
      <w:proofErr w:type="spellEnd"/>
      <w:r>
        <w:rPr>
          <w:rFonts w:eastAsia="Segoe UI"/>
          <w:sz w:val="20"/>
          <w:szCs w:val="20"/>
          <w:shd w:val="clear" w:color="auto" w:fill="FFFFFF"/>
          <w:lang w:val="pt-BR"/>
        </w:rPr>
        <w:t xml:space="preserve"> de </w:t>
      </w:r>
      <w:proofErr w:type="spellStart"/>
      <w:r>
        <w:rPr>
          <w:rFonts w:eastAsia="Segoe UI"/>
          <w:sz w:val="20"/>
          <w:szCs w:val="20"/>
          <w:shd w:val="clear" w:color="auto" w:fill="FFFFFF"/>
          <w:lang w:val="pt-BR"/>
        </w:rPr>
        <w:t>la</w:t>
      </w:r>
      <w:proofErr w:type="spellEnd"/>
      <w:r>
        <w:rPr>
          <w:rFonts w:eastAsia="Segoe UI"/>
          <w:sz w:val="20"/>
          <w:szCs w:val="20"/>
          <w:shd w:val="clear" w:color="auto" w:fill="FFFFFF"/>
          <w:lang w:val="pt-BR"/>
        </w:rPr>
        <w:t xml:space="preserve"> Langue Française </w:t>
      </w:r>
      <w:proofErr w:type="spellStart"/>
      <w:r>
        <w:rPr>
          <w:rFonts w:eastAsia="Segoe UI"/>
          <w:sz w:val="20"/>
          <w:szCs w:val="20"/>
          <w:shd w:val="clear" w:color="auto" w:fill="FFFFFF"/>
          <w:lang w:val="pt-BR"/>
        </w:rPr>
        <w:t>informatisé</w:t>
      </w:r>
      <w:proofErr w:type="spellEnd"/>
      <w:r>
        <w:rPr>
          <w:rFonts w:eastAsia="Segoe UI"/>
          <w:sz w:val="20"/>
          <w:szCs w:val="20"/>
          <w:shd w:val="clear" w:color="auto" w:fill="FFFFFF"/>
          <w:lang w:val="pt-BR"/>
        </w:rPr>
        <w:t xml:space="preserve">. Nancy: CNRS, 2012. Disponível em: </w:t>
      </w:r>
      <w:r>
        <w:rPr>
          <w:sz w:val="20"/>
          <w:szCs w:val="20"/>
          <w:lang w:val="pt-BR"/>
        </w:rPr>
        <w:t>https://www.cnrtl.fr/etymologie/frénésie</w:t>
      </w:r>
      <w:r>
        <w:rPr>
          <w:rFonts w:eastAsia="Segoe UI"/>
          <w:sz w:val="20"/>
          <w:szCs w:val="20"/>
          <w:shd w:val="clear" w:color="auto" w:fill="FFFFFF"/>
          <w:lang w:val="pt-BR"/>
        </w:rPr>
        <w:t xml:space="preserve">.  Acesso em: 1o out. 2025. </w:t>
      </w:r>
    </w:p>
    <w:p w14:paraId="4BBFB8D8" w14:textId="77777777" w:rsidR="0003312E" w:rsidRDefault="00000000">
      <w:pPr>
        <w:pStyle w:val="NormalWeb"/>
        <w:numPr>
          <w:ilvl w:val="0"/>
          <w:numId w:val="7"/>
        </w:numPr>
        <w:spacing w:beforeAutospacing="0" w:after="0" w:afterAutospacing="0" w:line="240" w:lineRule="auto"/>
        <w:ind w:left="0" w:firstLine="0"/>
        <w:jc w:val="both"/>
        <w:rPr>
          <w:rFonts w:eastAsia="Segoe UI"/>
          <w:sz w:val="20"/>
          <w:szCs w:val="20"/>
          <w:shd w:val="clear" w:color="auto" w:fill="FFFFFF"/>
          <w:lang w:val="pt-BR"/>
        </w:rPr>
      </w:pPr>
      <w:r>
        <w:rPr>
          <w:rFonts w:eastAsia="Segoe UI"/>
          <w:sz w:val="20"/>
          <w:szCs w:val="20"/>
          <w:shd w:val="clear" w:color="auto" w:fill="FFFFFF"/>
          <w:lang w:val="pt-BR"/>
        </w:rPr>
        <w:t xml:space="preserve">DECEL - </w:t>
      </w:r>
      <w:proofErr w:type="spellStart"/>
      <w:r>
        <w:rPr>
          <w:rFonts w:eastAsia="Segoe UI"/>
          <w:sz w:val="20"/>
          <w:szCs w:val="20"/>
          <w:shd w:val="clear" w:color="auto" w:fill="FFFFFF"/>
          <w:lang w:val="pt-BR"/>
        </w:rPr>
        <w:t>Diccionario</w:t>
      </w:r>
      <w:proofErr w:type="spellEnd"/>
      <w:r>
        <w:rPr>
          <w:rFonts w:eastAsia="Segoe UI"/>
          <w:sz w:val="20"/>
          <w:szCs w:val="20"/>
          <w:shd w:val="clear" w:color="auto" w:fill="FFFFFF"/>
          <w:lang w:val="pt-BR"/>
        </w:rPr>
        <w:t xml:space="preserve"> Etimológico Castellano </w:t>
      </w:r>
      <w:proofErr w:type="spellStart"/>
      <w:r>
        <w:rPr>
          <w:rFonts w:eastAsia="Segoe UI"/>
          <w:sz w:val="20"/>
          <w:szCs w:val="20"/>
          <w:shd w:val="clear" w:color="auto" w:fill="FFFFFF"/>
          <w:lang w:val="pt-BR"/>
        </w:rPr>
        <w:t>En</w:t>
      </w:r>
      <w:proofErr w:type="spellEnd"/>
      <w:r>
        <w:rPr>
          <w:rFonts w:eastAsia="Segoe UI"/>
          <w:sz w:val="20"/>
          <w:szCs w:val="20"/>
          <w:shd w:val="clear" w:color="auto" w:fill="FFFFFF"/>
          <w:lang w:val="pt-BR"/>
        </w:rPr>
        <w:t xml:space="preserve"> Línea - </w:t>
      </w:r>
      <w:proofErr w:type="spellStart"/>
      <w:r>
        <w:rPr>
          <w:rFonts w:eastAsia="Segoe UI"/>
          <w:sz w:val="20"/>
          <w:szCs w:val="20"/>
          <w:shd w:val="clear" w:color="auto" w:fill="FFFFFF"/>
          <w:lang w:val="pt-BR"/>
        </w:rPr>
        <w:t>DeChile</w:t>
      </w:r>
      <w:proofErr w:type="spellEnd"/>
      <w:r>
        <w:rPr>
          <w:rFonts w:eastAsia="Segoe UI"/>
          <w:sz w:val="20"/>
          <w:szCs w:val="20"/>
          <w:shd w:val="clear" w:color="auto" w:fill="FFFFFF"/>
          <w:lang w:val="pt-BR"/>
        </w:rPr>
        <w:t xml:space="preserve">. </w:t>
      </w:r>
      <w:r>
        <w:rPr>
          <w:rFonts w:eastAsia="Segoe UI"/>
          <w:sz w:val="20"/>
          <w:szCs w:val="20"/>
          <w:shd w:val="clear" w:color="auto" w:fill="FFFFFF"/>
        </w:rPr>
        <w:t>Frenesi. [</w:t>
      </w:r>
      <w:proofErr w:type="spellStart"/>
      <w:r>
        <w:rPr>
          <w:rFonts w:eastAsia="Segoe UI"/>
          <w:sz w:val="20"/>
          <w:szCs w:val="20"/>
          <w:shd w:val="clear" w:color="auto" w:fill="FFFFFF"/>
        </w:rPr>
        <w:t>S.l.</w:t>
      </w:r>
      <w:proofErr w:type="spellEnd"/>
      <w:r>
        <w:rPr>
          <w:rFonts w:eastAsia="Segoe UI"/>
          <w:sz w:val="20"/>
          <w:szCs w:val="20"/>
          <w:shd w:val="clear" w:color="auto" w:fill="FFFFFF"/>
        </w:rPr>
        <w:t>], [</w:t>
      </w:r>
      <w:proofErr w:type="spellStart"/>
      <w:r>
        <w:rPr>
          <w:rFonts w:eastAsia="Segoe UI"/>
          <w:sz w:val="20"/>
          <w:szCs w:val="20"/>
          <w:shd w:val="clear" w:color="auto" w:fill="FFFFFF"/>
        </w:rPr>
        <w:t>s.d.</w:t>
      </w:r>
      <w:proofErr w:type="spellEnd"/>
      <w:r>
        <w:rPr>
          <w:rFonts w:eastAsia="Segoe UI"/>
          <w:sz w:val="20"/>
          <w:szCs w:val="20"/>
          <w:shd w:val="clear" w:color="auto" w:fill="FFFFFF"/>
        </w:rPr>
        <w:t xml:space="preserve">]. </w:t>
      </w:r>
      <w:r>
        <w:rPr>
          <w:rFonts w:eastAsia="Segoe UI"/>
          <w:sz w:val="20"/>
          <w:szCs w:val="20"/>
          <w:shd w:val="clear" w:color="auto" w:fill="FFFFFF"/>
          <w:lang w:val="pt-BR"/>
        </w:rPr>
        <w:t xml:space="preserve">Disponível em: </w:t>
      </w:r>
      <w:hyperlink r:id="rId63" w:tgtFrame="_new" w:history="1">
        <w:r>
          <w:rPr>
            <w:rStyle w:val="Hyperlink"/>
            <w:rFonts w:eastAsia="Segoe UI"/>
            <w:color w:val="auto"/>
            <w:sz w:val="20"/>
            <w:szCs w:val="20"/>
            <w:shd w:val="clear" w:color="auto" w:fill="FFFFFF"/>
            <w:lang w:val="pt-BR"/>
          </w:rPr>
          <w:t>https://etimologias.dechile.net/?frenesi</w:t>
        </w:r>
      </w:hyperlink>
      <w:r>
        <w:rPr>
          <w:rFonts w:eastAsia="Segoe UI"/>
          <w:sz w:val="20"/>
          <w:szCs w:val="20"/>
          <w:shd w:val="clear" w:color="auto" w:fill="FFFFFF"/>
          <w:lang w:val="pt-BR"/>
        </w:rPr>
        <w:t xml:space="preserve">.  Acesso em: 1o out. 2025. </w:t>
      </w:r>
    </w:p>
    <w:p w14:paraId="15231CC0" w14:textId="77777777" w:rsidR="0003312E" w:rsidRDefault="00000000">
      <w:pPr>
        <w:pStyle w:val="NormalWeb"/>
        <w:numPr>
          <w:ilvl w:val="0"/>
          <w:numId w:val="7"/>
        </w:numPr>
        <w:spacing w:beforeAutospacing="0" w:after="0" w:afterAutospacing="0" w:line="240" w:lineRule="auto"/>
        <w:ind w:left="0" w:firstLine="0"/>
        <w:jc w:val="both"/>
        <w:rPr>
          <w:rFonts w:eastAsia="Segoe UI"/>
          <w:sz w:val="20"/>
          <w:szCs w:val="20"/>
          <w:shd w:val="clear" w:color="auto" w:fill="FFFFFF"/>
          <w:lang w:val="pt-BR"/>
        </w:rPr>
      </w:pPr>
      <w:r>
        <w:rPr>
          <w:rFonts w:eastAsia="Segoe UI"/>
          <w:sz w:val="20"/>
          <w:szCs w:val="20"/>
          <w:shd w:val="clear" w:color="auto" w:fill="FFFFFF"/>
        </w:rPr>
        <w:t xml:space="preserve">ELLERMAN, C. P. Nietzsche’s madness: tragic wisdom. Journal of Nietzsche Studies, v. 47, n. 2, p. 338 - 360, 2016. </w:t>
      </w:r>
      <w:r>
        <w:rPr>
          <w:rFonts w:eastAsia="Segoe UI"/>
          <w:sz w:val="20"/>
          <w:szCs w:val="20"/>
          <w:shd w:val="clear" w:color="auto" w:fill="FFFFFF"/>
          <w:lang w:val="pt-BR"/>
        </w:rPr>
        <w:t xml:space="preserve">Disponível em: </w:t>
      </w:r>
      <w:hyperlink r:id="rId64" w:tgtFrame="_new" w:history="1">
        <w:r>
          <w:rPr>
            <w:rStyle w:val="Hyperlink"/>
            <w:rFonts w:eastAsia="Segoe UI"/>
            <w:color w:val="auto"/>
            <w:sz w:val="20"/>
            <w:szCs w:val="20"/>
            <w:shd w:val="clear" w:color="auto" w:fill="FFFFFF"/>
            <w:lang w:val="pt-BR"/>
          </w:rPr>
          <w:t>https://www.jstor.org/stable/pdf/26302577.pdf</w:t>
        </w:r>
      </w:hyperlink>
      <w:r>
        <w:rPr>
          <w:rFonts w:eastAsia="Segoe UI"/>
          <w:sz w:val="20"/>
          <w:szCs w:val="20"/>
          <w:shd w:val="clear" w:color="auto" w:fill="FFFFFF"/>
          <w:lang w:val="pt-BR"/>
        </w:rPr>
        <w:t xml:space="preserve">.  Acesso em: 1o out. 2025. </w:t>
      </w:r>
    </w:p>
    <w:p w14:paraId="7F12A2E6" w14:textId="77777777" w:rsidR="0003312E" w:rsidRDefault="00000000">
      <w:pPr>
        <w:pStyle w:val="NormalWeb"/>
        <w:numPr>
          <w:ilvl w:val="0"/>
          <w:numId w:val="7"/>
        </w:numPr>
        <w:spacing w:beforeAutospacing="0" w:after="0" w:afterAutospacing="0" w:line="240" w:lineRule="auto"/>
        <w:ind w:left="0" w:firstLine="0"/>
        <w:jc w:val="both"/>
        <w:rPr>
          <w:rFonts w:eastAsia="Segoe UI"/>
          <w:sz w:val="20"/>
          <w:szCs w:val="20"/>
          <w:shd w:val="clear" w:color="auto" w:fill="FFFFFF"/>
        </w:rPr>
      </w:pPr>
      <w:r>
        <w:rPr>
          <w:rFonts w:eastAsia="Segoe UI"/>
          <w:sz w:val="20"/>
          <w:szCs w:val="20"/>
          <w:shd w:val="clear" w:color="auto" w:fill="FFFFFF"/>
        </w:rPr>
        <w:t xml:space="preserve">HARPER, Douglas. Online Etymology Dictionary. </w:t>
      </w:r>
      <w:r>
        <w:rPr>
          <w:rFonts w:eastAsia="Segoe UI"/>
          <w:sz w:val="20"/>
          <w:szCs w:val="20"/>
          <w:shd w:val="clear" w:color="auto" w:fill="FFFFFF"/>
          <w:lang w:val="pt-BR"/>
        </w:rPr>
        <w:t xml:space="preserve">2001-2024. Disponível em: </w:t>
      </w:r>
      <w:hyperlink r:id="rId65" w:tgtFrame="_new" w:history="1">
        <w:r>
          <w:rPr>
            <w:rStyle w:val="Hyperlink"/>
            <w:rFonts w:eastAsia="Segoe UI"/>
            <w:color w:val="auto"/>
            <w:sz w:val="20"/>
            <w:szCs w:val="20"/>
            <w:shd w:val="clear" w:color="auto" w:fill="FFFFFF"/>
            <w:lang w:val="pt-BR"/>
          </w:rPr>
          <w:t>https://www.etymonline.com/</w:t>
        </w:r>
      </w:hyperlink>
      <w:r>
        <w:rPr>
          <w:rFonts w:eastAsia="Segoe UI"/>
          <w:sz w:val="20"/>
          <w:szCs w:val="20"/>
          <w:shd w:val="clear" w:color="auto" w:fill="FFFFFF"/>
          <w:lang w:val="pt-BR"/>
        </w:rPr>
        <w:t xml:space="preserve">.  Acesso em: 1o out. 2025. </w:t>
      </w:r>
    </w:p>
    <w:p w14:paraId="090057C1" w14:textId="77777777" w:rsidR="0003312E" w:rsidRDefault="00000000">
      <w:pPr>
        <w:pStyle w:val="NormalWeb"/>
        <w:numPr>
          <w:ilvl w:val="0"/>
          <w:numId w:val="7"/>
        </w:numPr>
        <w:spacing w:beforeAutospacing="0" w:after="0" w:afterAutospacing="0" w:line="240" w:lineRule="auto"/>
        <w:ind w:left="0" w:firstLine="0"/>
        <w:jc w:val="both"/>
        <w:rPr>
          <w:rFonts w:eastAsia="Segoe UI"/>
          <w:sz w:val="20"/>
          <w:szCs w:val="20"/>
          <w:shd w:val="clear" w:color="auto" w:fill="FFFFFF"/>
          <w:lang w:val="pt-BR"/>
        </w:rPr>
      </w:pPr>
      <w:r>
        <w:rPr>
          <w:rStyle w:val="Forte"/>
          <w:b w:val="0"/>
          <w:bCs w:val="0"/>
          <w:sz w:val="20"/>
          <w:szCs w:val="20"/>
        </w:rPr>
        <w:t>KEBETS, V.; FAVRE, P.; HOUENOU, J.; POLOSAN, M.; PERROUD, N.; AUBRY, J.-M.; VAN DE VILLE, D.; PIGUET, C.</w:t>
      </w:r>
      <w:r>
        <w:rPr>
          <w:sz w:val="20"/>
          <w:szCs w:val="20"/>
        </w:rPr>
        <w:t xml:space="preserve"> Fronto-limbic neural variability as a transdiagnostic correlate of emotion dysregulation. </w:t>
      </w:r>
      <w:proofErr w:type="spellStart"/>
      <w:r>
        <w:rPr>
          <w:rStyle w:val="nfase"/>
          <w:sz w:val="20"/>
          <w:szCs w:val="20"/>
          <w:lang w:val="pt-BR"/>
        </w:rPr>
        <w:t>Translational</w:t>
      </w:r>
      <w:proofErr w:type="spellEnd"/>
      <w:r>
        <w:rPr>
          <w:rStyle w:val="nfase"/>
          <w:sz w:val="20"/>
          <w:szCs w:val="20"/>
          <w:lang w:val="pt-BR"/>
        </w:rPr>
        <w:t xml:space="preserve"> </w:t>
      </w:r>
      <w:proofErr w:type="spellStart"/>
      <w:r>
        <w:rPr>
          <w:rStyle w:val="nfase"/>
          <w:sz w:val="20"/>
          <w:szCs w:val="20"/>
          <w:lang w:val="pt-BR"/>
        </w:rPr>
        <w:t>Psychiatry</w:t>
      </w:r>
      <w:proofErr w:type="spellEnd"/>
      <w:r>
        <w:rPr>
          <w:sz w:val="20"/>
          <w:szCs w:val="20"/>
          <w:lang w:val="pt-BR"/>
        </w:rPr>
        <w:t>, v. 11, p. 545, 2021. Disponível em: https://doi.org/10.1038/s41398-021-01666-3</w:t>
      </w:r>
      <w:proofErr w:type="gramStart"/>
      <w:r>
        <w:rPr>
          <w:sz w:val="20"/>
          <w:szCs w:val="20"/>
          <w:lang w:val="pt-BR"/>
        </w:rPr>
        <w:t>. .</w:t>
      </w:r>
      <w:proofErr w:type="gramEnd"/>
      <w:r>
        <w:rPr>
          <w:sz w:val="20"/>
          <w:szCs w:val="20"/>
          <w:lang w:val="pt-BR"/>
        </w:rPr>
        <w:t xml:space="preserve"> </w:t>
      </w:r>
      <w:proofErr w:type="spellStart"/>
      <w:r>
        <w:rPr>
          <w:sz w:val="20"/>
          <w:szCs w:val="20"/>
        </w:rPr>
        <w:t>Acesso</w:t>
      </w:r>
      <w:proofErr w:type="spellEnd"/>
      <w:r>
        <w:rPr>
          <w:sz w:val="20"/>
          <w:szCs w:val="20"/>
        </w:rPr>
        <w:t xml:space="preserve"> </w:t>
      </w:r>
      <w:proofErr w:type="spellStart"/>
      <w:r>
        <w:rPr>
          <w:sz w:val="20"/>
          <w:szCs w:val="20"/>
        </w:rPr>
        <w:t>em</w:t>
      </w:r>
      <w:proofErr w:type="spellEnd"/>
      <w:r>
        <w:rPr>
          <w:sz w:val="20"/>
          <w:szCs w:val="20"/>
        </w:rPr>
        <w:t xml:space="preserve">: </w:t>
      </w:r>
      <w:r>
        <w:rPr>
          <w:rFonts w:eastAsia="Segoe UI"/>
          <w:sz w:val="20"/>
          <w:szCs w:val="20"/>
          <w:shd w:val="clear" w:color="auto" w:fill="FFFFFF"/>
          <w:lang w:val="pt-BR"/>
        </w:rPr>
        <w:t xml:space="preserve">1o out. 2025. </w:t>
      </w:r>
    </w:p>
    <w:p w14:paraId="6D3346E0" w14:textId="77777777" w:rsidR="0003312E" w:rsidRDefault="00000000">
      <w:pPr>
        <w:pStyle w:val="NormalWeb"/>
        <w:numPr>
          <w:ilvl w:val="0"/>
          <w:numId w:val="7"/>
        </w:numPr>
        <w:spacing w:beforeAutospacing="0" w:after="0" w:afterAutospacing="0" w:line="240" w:lineRule="auto"/>
        <w:ind w:left="0" w:firstLine="0"/>
        <w:jc w:val="both"/>
        <w:rPr>
          <w:rFonts w:eastAsia="Segoe UI"/>
          <w:sz w:val="20"/>
          <w:szCs w:val="20"/>
          <w:shd w:val="clear" w:color="auto" w:fill="FFFFFF"/>
          <w:lang w:val="pt-BR"/>
        </w:rPr>
      </w:pPr>
      <w:r>
        <w:rPr>
          <w:rStyle w:val="Forte"/>
          <w:rFonts w:eastAsia="Segoe UI"/>
          <w:b w:val="0"/>
          <w:bCs w:val="0"/>
          <w:sz w:val="20"/>
          <w:szCs w:val="20"/>
          <w:shd w:val="clear" w:color="auto" w:fill="FFFFFF"/>
        </w:rPr>
        <w:t>LEWIS, Charlton T.; SHORT, Charles.</w:t>
      </w:r>
      <w:r>
        <w:rPr>
          <w:rFonts w:eastAsia="Segoe UI"/>
          <w:sz w:val="20"/>
          <w:szCs w:val="20"/>
          <w:shd w:val="clear" w:color="auto" w:fill="FFFFFF"/>
        </w:rPr>
        <w:t> </w:t>
      </w:r>
      <w:r>
        <w:rPr>
          <w:rStyle w:val="nfase"/>
          <w:rFonts w:eastAsia="Segoe UI"/>
          <w:sz w:val="20"/>
          <w:szCs w:val="20"/>
          <w:shd w:val="clear" w:color="auto" w:fill="FFFFFF"/>
        </w:rPr>
        <w:t>A Latin Dictionary.</w:t>
      </w:r>
      <w:r>
        <w:rPr>
          <w:rFonts w:eastAsia="Segoe UI"/>
          <w:sz w:val="20"/>
          <w:szCs w:val="20"/>
          <w:shd w:val="clear" w:color="auto" w:fill="FFFFFF"/>
        </w:rPr>
        <w:t xml:space="preserve"> Oxford: Clarendon Press, 1879. </w:t>
      </w:r>
      <w:r>
        <w:rPr>
          <w:rFonts w:eastAsia="Segoe UI"/>
          <w:sz w:val="20"/>
          <w:szCs w:val="20"/>
          <w:shd w:val="clear" w:color="auto" w:fill="FFFFFF"/>
          <w:lang w:val="pt-BR"/>
        </w:rPr>
        <w:t>Disponível em: </w:t>
      </w:r>
      <w:hyperlink r:id="rId66" w:tgtFrame="https://chat.deepseek.com/a/chat/s/_blank" w:history="1">
        <w:r>
          <w:rPr>
            <w:rStyle w:val="Hyperlink"/>
            <w:rFonts w:eastAsia="Segoe UI"/>
            <w:color w:val="auto"/>
            <w:sz w:val="20"/>
            <w:szCs w:val="20"/>
            <w:u w:val="none"/>
            <w:shd w:val="clear" w:color="auto" w:fill="FFFFFF"/>
            <w:lang w:val="pt-BR"/>
          </w:rPr>
          <w:t>https://www.perseus.tufts.edu/hopper/text?doc=Perseus:text:1999.04.0059</w:t>
        </w:r>
      </w:hyperlink>
      <w:r>
        <w:rPr>
          <w:rFonts w:eastAsia="Segoe UI"/>
          <w:sz w:val="20"/>
          <w:szCs w:val="20"/>
          <w:shd w:val="clear" w:color="auto" w:fill="FFFFFF"/>
          <w:lang w:val="pt-BR"/>
        </w:rPr>
        <w:t xml:space="preserve">. </w:t>
      </w:r>
      <w:proofErr w:type="spellStart"/>
      <w:r>
        <w:rPr>
          <w:rFonts w:eastAsia="Segoe UI"/>
          <w:sz w:val="20"/>
          <w:szCs w:val="20"/>
          <w:shd w:val="clear" w:color="auto" w:fill="FFFFFF"/>
        </w:rPr>
        <w:t>Acesso</w:t>
      </w:r>
      <w:proofErr w:type="spellEnd"/>
      <w:r>
        <w:rPr>
          <w:rFonts w:eastAsia="Segoe UI"/>
          <w:sz w:val="20"/>
          <w:szCs w:val="20"/>
          <w:shd w:val="clear" w:color="auto" w:fill="FFFFFF"/>
        </w:rPr>
        <w:t xml:space="preserve"> </w:t>
      </w:r>
      <w:proofErr w:type="spellStart"/>
      <w:r>
        <w:rPr>
          <w:rFonts w:eastAsia="Segoe UI"/>
          <w:sz w:val="20"/>
          <w:szCs w:val="20"/>
          <w:shd w:val="clear" w:color="auto" w:fill="FFFFFF"/>
        </w:rPr>
        <w:t>em</w:t>
      </w:r>
      <w:proofErr w:type="spellEnd"/>
      <w:r>
        <w:rPr>
          <w:rFonts w:eastAsia="Segoe UI"/>
          <w:sz w:val="20"/>
          <w:szCs w:val="20"/>
          <w:shd w:val="clear" w:color="auto" w:fill="FFFFFF"/>
        </w:rPr>
        <w:t xml:space="preserve">: </w:t>
      </w:r>
      <w:r>
        <w:rPr>
          <w:rFonts w:eastAsia="Segoe UI"/>
          <w:sz w:val="20"/>
          <w:szCs w:val="20"/>
          <w:shd w:val="clear" w:color="auto" w:fill="FFFFFF"/>
          <w:lang w:val="pt-BR"/>
        </w:rPr>
        <w:t xml:space="preserve">1o out. 2025. </w:t>
      </w:r>
    </w:p>
    <w:p w14:paraId="6332EF51" w14:textId="77777777" w:rsidR="0003312E" w:rsidRDefault="00000000">
      <w:pPr>
        <w:pStyle w:val="NormalWeb"/>
        <w:numPr>
          <w:ilvl w:val="0"/>
          <w:numId w:val="7"/>
        </w:numPr>
        <w:spacing w:beforeAutospacing="0" w:after="0" w:afterAutospacing="0" w:line="240" w:lineRule="auto"/>
        <w:ind w:left="0" w:firstLine="0"/>
        <w:jc w:val="both"/>
        <w:rPr>
          <w:rFonts w:eastAsia="Segoe UI"/>
          <w:sz w:val="20"/>
          <w:szCs w:val="20"/>
          <w:shd w:val="clear" w:color="auto" w:fill="FFFFFF"/>
          <w:lang w:val="pt-BR"/>
        </w:rPr>
      </w:pPr>
      <w:r>
        <w:rPr>
          <w:rFonts w:eastAsia="Segoe UI"/>
          <w:sz w:val="20"/>
          <w:szCs w:val="20"/>
          <w:shd w:val="clear" w:color="auto" w:fill="FFFFFF"/>
        </w:rPr>
        <w:t xml:space="preserve">MAGNUS, Bernd. Friedrich Nietzsche. </w:t>
      </w:r>
      <w:proofErr w:type="spellStart"/>
      <w:r>
        <w:rPr>
          <w:rFonts w:eastAsia="Segoe UI"/>
          <w:sz w:val="20"/>
          <w:szCs w:val="20"/>
          <w:shd w:val="clear" w:color="auto" w:fill="FFFFFF"/>
        </w:rPr>
        <w:t>Encyclopaedia</w:t>
      </w:r>
      <w:proofErr w:type="spellEnd"/>
      <w:r>
        <w:rPr>
          <w:rFonts w:eastAsia="Segoe UI"/>
          <w:sz w:val="20"/>
          <w:szCs w:val="20"/>
          <w:shd w:val="clear" w:color="auto" w:fill="FFFFFF"/>
        </w:rPr>
        <w:t xml:space="preserve"> Britannica, 2025. </w:t>
      </w:r>
      <w:r>
        <w:rPr>
          <w:rFonts w:eastAsia="Segoe UI"/>
          <w:sz w:val="20"/>
          <w:szCs w:val="20"/>
          <w:shd w:val="clear" w:color="auto" w:fill="FFFFFF"/>
          <w:lang w:val="pt-BR"/>
        </w:rPr>
        <w:t xml:space="preserve">Disponível em: </w:t>
      </w:r>
      <w:hyperlink r:id="rId67" w:tgtFrame="_new" w:history="1">
        <w:r>
          <w:rPr>
            <w:rStyle w:val="Hyperlink"/>
            <w:rFonts w:eastAsia="Segoe UI"/>
            <w:color w:val="auto"/>
            <w:sz w:val="20"/>
            <w:szCs w:val="20"/>
            <w:shd w:val="clear" w:color="auto" w:fill="FFFFFF"/>
            <w:lang w:val="pt-BR"/>
          </w:rPr>
          <w:t>https://www.britannica.com/biography/Friedrich-Nietzsche</w:t>
        </w:r>
      </w:hyperlink>
      <w:r>
        <w:rPr>
          <w:rFonts w:eastAsia="Segoe UI"/>
          <w:sz w:val="20"/>
          <w:szCs w:val="20"/>
          <w:shd w:val="clear" w:color="auto" w:fill="FFFFFF"/>
          <w:lang w:val="pt-BR"/>
        </w:rPr>
        <w:t xml:space="preserve">.  Acesso em: 1o out. 2025. </w:t>
      </w:r>
    </w:p>
    <w:p w14:paraId="3413DEA7" w14:textId="77777777" w:rsidR="0003312E" w:rsidRDefault="00000000">
      <w:pPr>
        <w:pStyle w:val="NormalWeb"/>
        <w:numPr>
          <w:ilvl w:val="0"/>
          <w:numId w:val="7"/>
        </w:numPr>
        <w:spacing w:beforeAutospacing="0" w:after="0" w:afterAutospacing="0" w:line="240" w:lineRule="auto"/>
        <w:ind w:left="0" w:firstLine="0"/>
        <w:jc w:val="both"/>
        <w:rPr>
          <w:rFonts w:eastAsia="Segoe UI"/>
          <w:sz w:val="20"/>
          <w:szCs w:val="20"/>
          <w:shd w:val="clear" w:color="auto" w:fill="FFFFFF"/>
        </w:rPr>
      </w:pPr>
      <w:r>
        <w:rPr>
          <w:rFonts w:eastAsia="Segoe UI"/>
          <w:sz w:val="20"/>
          <w:szCs w:val="20"/>
          <w:shd w:val="clear" w:color="auto" w:fill="FFFFFF"/>
        </w:rPr>
        <w:t xml:space="preserve">NIETZSCHE, Friedrich. Twilight of the Idols: or, How to Philosophize with the Hammer. </w:t>
      </w:r>
      <w:r>
        <w:rPr>
          <w:rFonts w:eastAsia="Segoe UI"/>
          <w:sz w:val="20"/>
          <w:szCs w:val="20"/>
          <w:shd w:val="clear" w:color="auto" w:fill="FFFFFF"/>
          <w:lang w:val="pt-BR"/>
        </w:rPr>
        <w:t xml:space="preserve">Tradução de Anthony M. </w:t>
      </w:r>
      <w:proofErr w:type="spellStart"/>
      <w:r>
        <w:rPr>
          <w:rFonts w:eastAsia="Segoe UI"/>
          <w:sz w:val="20"/>
          <w:szCs w:val="20"/>
          <w:shd w:val="clear" w:color="auto" w:fill="FFFFFF"/>
          <w:lang w:val="pt-BR"/>
        </w:rPr>
        <w:t>Ludovici</w:t>
      </w:r>
      <w:proofErr w:type="spellEnd"/>
      <w:r>
        <w:rPr>
          <w:rFonts w:eastAsia="Segoe UI"/>
          <w:sz w:val="20"/>
          <w:szCs w:val="20"/>
          <w:shd w:val="clear" w:color="auto" w:fill="FFFFFF"/>
          <w:lang w:val="pt-BR"/>
        </w:rPr>
        <w:t xml:space="preserve">. Edinburgh: T.N. </w:t>
      </w:r>
      <w:proofErr w:type="spellStart"/>
      <w:r>
        <w:rPr>
          <w:rFonts w:eastAsia="Segoe UI"/>
          <w:sz w:val="20"/>
          <w:szCs w:val="20"/>
          <w:shd w:val="clear" w:color="auto" w:fill="FFFFFF"/>
          <w:lang w:val="pt-BR"/>
        </w:rPr>
        <w:t>Foulis</w:t>
      </w:r>
      <w:proofErr w:type="spellEnd"/>
      <w:r>
        <w:rPr>
          <w:rFonts w:eastAsia="Segoe UI"/>
          <w:sz w:val="20"/>
          <w:szCs w:val="20"/>
          <w:shd w:val="clear" w:color="auto" w:fill="FFFFFF"/>
          <w:lang w:val="pt-BR"/>
        </w:rPr>
        <w:t xml:space="preserve">, 1911. Disponível em: </w:t>
      </w:r>
      <w:hyperlink r:id="rId68" w:tgtFrame="_new" w:history="1">
        <w:r>
          <w:rPr>
            <w:rStyle w:val="Hyperlink"/>
            <w:rFonts w:eastAsia="Segoe UI"/>
            <w:color w:val="auto"/>
            <w:sz w:val="20"/>
            <w:szCs w:val="20"/>
            <w:shd w:val="clear" w:color="auto" w:fill="FFFFFF"/>
            <w:lang w:val="pt-BR"/>
          </w:rPr>
          <w:t>https://www.gutenberg.org/files/52263/52263-h/52263-h.htm</w:t>
        </w:r>
      </w:hyperlink>
      <w:r>
        <w:rPr>
          <w:rFonts w:eastAsia="Segoe UI"/>
          <w:sz w:val="20"/>
          <w:szCs w:val="20"/>
          <w:shd w:val="clear" w:color="auto" w:fill="FFFFFF"/>
          <w:lang w:val="pt-BR"/>
        </w:rPr>
        <w:t xml:space="preserve">.  Acesso em: 1o out. 2025. </w:t>
      </w:r>
    </w:p>
    <w:p w14:paraId="7951798B" w14:textId="77777777" w:rsidR="0003312E" w:rsidRPr="000D7094" w:rsidRDefault="00000000">
      <w:pPr>
        <w:pStyle w:val="NormalWeb"/>
        <w:numPr>
          <w:ilvl w:val="0"/>
          <w:numId w:val="7"/>
        </w:numPr>
        <w:spacing w:beforeAutospacing="0" w:after="0" w:afterAutospacing="0" w:line="240" w:lineRule="auto"/>
        <w:ind w:left="0" w:firstLine="0"/>
        <w:jc w:val="both"/>
        <w:rPr>
          <w:rFonts w:eastAsia="Segoe UI"/>
          <w:sz w:val="20"/>
          <w:szCs w:val="20"/>
          <w:shd w:val="clear" w:color="auto" w:fill="FFFFFF"/>
          <w:lang w:val="pt-BR"/>
        </w:rPr>
      </w:pPr>
      <w:r>
        <w:rPr>
          <w:rFonts w:eastAsia="Segoe UI"/>
          <w:sz w:val="20"/>
          <w:szCs w:val="20"/>
          <w:shd w:val="clear" w:color="auto" w:fill="FFFFFF"/>
          <w:lang w:val="pt-BR"/>
        </w:rPr>
        <w:t xml:space="preserve">RAE-REAL ACADEMIA ESPAÑOLA. </w:t>
      </w:r>
      <w:proofErr w:type="spellStart"/>
      <w:r>
        <w:rPr>
          <w:rFonts w:eastAsia="Segoe UI"/>
          <w:sz w:val="20"/>
          <w:szCs w:val="20"/>
          <w:shd w:val="clear" w:color="auto" w:fill="FFFFFF"/>
          <w:lang w:val="pt-BR"/>
        </w:rPr>
        <w:t>Diccionario</w:t>
      </w:r>
      <w:proofErr w:type="spellEnd"/>
      <w:r>
        <w:rPr>
          <w:rFonts w:eastAsia="Segoe UI"/>
          <w:sz w:val="20"/>
          <w:szCs w:val="20"/>
          <w:shd w:val="clear" w:color="auto" w:fill="FFFFFF"/>
          <w:lang w:val="pt-BR"/>
        </w:rPr>
        <w:t xml:space="preserve"> de </w:t>
      </w:r>
      <w:proofErr w:type="spellStart"/>
      <w:r>
        <w:rPr>
          <w:rFonts w:eastAsia="Segoe UI"/>
          <w:sz w:val="20"/>
          <w:szCs w:val="20"/>
          <w:shd w:val="clear" w:color="auto" w:fill="FFFFFF"/>
          <w:lang w:val="pt-BR"/>
        </w:rPr>
        <w:t>la</w:t>
      </w:r>
      <w:proofErr w:type="spellEnd"/>
      <w:r>
        <w:rPr>
          <w:rFonts w:eastAsia="Segoe UI"/>
          <w:sz w:val="20"/>
          <w:szCs w:val="20"/>
          <w:shd w:val="clear" w:color="auto" w:fill="FFFFFF"/>
          <w:lang w:val="pt-BR"/>
        </w:rPr>
        <w:t xml:space="preserve"> </w:t>
      </w:r>
      <w:proofErr w:type="spellStart"/>
      <w:r>
        <w:rPr>
          <w:rFonts w:eastAsia="Segoe UI"/>
          <w:sz w:val="20"/>
          <w:szCs w:val="20"/>
          <w:shd w:val="clear" w:color="auto" w:fill="FFFFFF"/>
          <w:lang w:val="pt-BR"/>
        </w:rPr>
        <w:t>lengua</w:t>
      </w:r>
      <w:proofErr w:type="spellEnd"/>
      <w:r>
        <w:rPr>
          <w:rFonts w:eastAsia="Segoe UI"/>
          <w:sz w:val="20"/>
          <w:szCs w:val="20"/>
          <w:shd w:val="clear" w:color="auto" w:fill="FFFFFF"/>
          <w:lang w:val="pt-BR"/>
        </w:rPr>
        <w:t xml:space="preserve"> </w:t>
      </w:r>
      <w:proofErr w:type="spellStart"/>
      <w:r>
        <w:rPr>
          <w:rFonts w:eastAsia="Segoe UI"/>
          <w:sz w:val="20"/>
          <w:szCs w:val="20"/>
          <w:shd w:val="clear" w:color="auto" w:fill="FFFFFF"/>
          <w:lang w:val="pt-BR"/>
        </w:rPr>
        <w:t>española</w:t>
      </w:r>
      <w:proofErr w:type="spellEnd"/>
      <w:r>
        <w:rPr>
          <w:rFonts w:eastAsia="Segoe UI"/>
          <w:sz w:val="20"/>
          <w:szCs w:val="20"/>
          <w:shd w:val="clear" w:color="auto" w:fill="FFFFFF"/>
          <w:lang w:val="pt-BR"/>
        </w:rPr>
        <w:t xml:space="preserve">. 23. ed. [Madrid]: RAE, 2014. Disponível em: </w:t>
      </w:r>
      <w:hyperlink r:id="rId69" w:tgtFrame="_new" w:history="1">
        <w:r>
          <w:rPr>
            <w:rStyle w:val="Hyperlink"/>
            <w:rFonts w:eastAsia="Segoe UI"/>
            <w:color w:val="auto"/>
            <w:sz w:val="20"/>
            <w:szCs w:val="20"/>
            <w:shd w:val="clear" w:color="auto" w:fill="FFFFFF"/>
            <w:lang w:val="pt-BR"/>
          </w:rPr>
          <w:t>https://dle.rae.es/</w:t>
        </w:r>
      </w:hyperlink>
      <w:r>
        <w:rPr>
          <w:rFonts w:eastAsia="Segoe UI"/>
          <w:sz w:val="20"/>
          <w:szCs w:val="20"/>
          <w:shd w:val="clear" w:color="auto" w:fill="FFFFFF"/>
          <w:lang w:val="pt-BR"/>
        </w:rPr>
        <w:t>.  Acesso em: 1o out. 2025.</w:t>
      </w:r>
    </w:p>
    <w:p w14:paraId="45B0B146" w14:textId="77777777" w:rsidR="0003312E" w:rsidRDefault="00000000">
      <w:pPr>
        <w:pStyle w:val="NormalWeb"/>
        <w:spacing w:beforeAutospacing="0" w:after="0" w:afterAutospacing="0" w:line="240" w:lineRule="auto"/>
        <w:jc w:val="both"/>
        <w:rPr>
          <w:rFonts w:eastAsia="Segoe UI"/>
          <w:sz w:val="20"/>
          <w:szCs w:val="20"/>
          <w:shd w:val="clear" w:color="auto" w:fill="FFFFFF"/>
          <w:lang w:val="pt-BR"/>
        </w:rPr>
      </w:pPr>
      <w:r>
        <w:rPr>
          <w:rFonts w:eastAsia="Segoe UI"/>
          <w:sz w:val="20"/>
          <w:szCs w:val="20"/>
          <w:shd w:val="clear" w:color="auto" w:fill="FFFFFF"/>
          <w:lang w:val="pt-BR"/>
        </w:rPr>
        <w:t xml:space="preserve"> </w:t>
      </w:r>
    </w:p>
    <w:p w14:paraId="268D93F0" w14:textId="77777777" w:rsidR="0003312E" w:rsidRDefault="00000000">
      <w:pPr>
        <w:pStyle w:val="NormalWeb"/>
        <w:spacing w:beforeAutospacing="0" w:after="0" w:afterAutospacing="0" w:line="360" w:lineRule="auto"/>
        <w:ind w:firstLine="709"/>
        <w:jc w:val="both"/>
        <w:rPr>
          <w:rFonts w:eastAsia="Segoe UI"/>
          <w:b/>
          <w:bCs/>
          <w:sz w:val="24"/>
          <w:shd w:val="clear" w:color="auto" w:fill="FFFFFF"/>
          <w:lang w:val="pt-BR"/>
        </w:rPr>
      </w:pPr>
      <w:r>
        <w:rPr>
          <w:rFonts w:eastAsia="Segoe UI"/>
          <w:b/>
          <w:bCs/>
          <w:sz w:val="24"/>
          <w:shd w:val="clear" w:color="auto" w:fill="FFFFFF"/>
          <w:lang w:val="pt-BR"/>
        </w:rPr>
        <w:t>Capítulo 4</w:t>
      </w:r>
    </w:p>
    <w:p w14:paraId="207118EF" w14:textId="77777777" w:rsidR="0003312E" w:rsidRDefault="00000000">
      <w:pPr>
        <w:pStyle w:val="NormalWeb"/>
        <w:numPr>
          <w:ilvl w:val="0"/>
          <w:numId w:val="8"/>
        </w:numPr>
        <w:spacing w:beforeAutospacing="0" w:after="0" w:afterAutospacing="0" w:line="240" w:lineRule="auto"/>
        <w:ind w:left="0" w:firstLine="0"/>
        <w:jc w:val="both"/>
        <w:rPr>
          <w:rFonts w:eastAsia="Segoe UI"/>
          <w:sz w:val="20"/>
          <w:szCs w:val="20"/>
          <w:shd w:val="clear" w:color="auto" w:fill="FFFFFF"/>
          <w:lang w:val="pt-BR"/>
        </w:rPr>
      </w:pPr>
      <w:r>
        <w:rPr>
          <w:rFonts w:eastAsia="Segoe UI"/>
          <w:sz w:val="20"/>
          <w:szCs w:val="20"/>
          <w:shd w:val="clear" w:color="auto" w:fill="FFFFFF"/>
        </w:rPr>
        <w:t xml:space="preserve">BURTON, Robert. </w:t>
      </w:r>
      <w:r>
        <w:rPr>
          <w:rFonts w:eastAsia="Segoe UI"/>
          <w:i/>
          <w:iCs/>
          <w:sz w:val="20"/>
          <w:szCs w:val="20"/>
          <w:shd w:val="clear" w:color="auto" w:fill="FFFFFF"/>
        </w:rPr>
        <w:t>The Anatomy of Melancholy</w:t>
      </w:r>
      <w:r>
        <w:rPr>
          <w:rFonts w:eastAsia="Segoe UI"/>
          <w:sz w:val="20"/>
          <w:szCs w:val="20"/>
          <w:shd w:val="clear" w:color="auto" w:fill="FFFFFF"/>
        </w:rPr>
        <w:t xml:space="preserve">. </w:t>
      </w:r>
      <w:r>
        <w:rPr>
          <w:rFonts w:eastAsia="Segoe UI"/>
          <w:sz w:val="20"/>
          <w:szCs w:val="20"/>
          <w:shd w:val="clear" w:color="auto" w:fill="FFFFFF"/>
          <w:lang w:val="pt-BR"/>
        </w:rPr>
        <w:t xml:space="preserve">Oxford: Henry </w:t>
      </w:r>
      <w:proofErr w:type="spellStart"/>
      <w:r>
        <w:rPr>
          <w:rFonts w:eastAsia="Segoe UI"/>
          <w:sz w:val="20"/>
          <w:szCs w:val="20"/>
          <w:shd w:val="clear" w:color="auto" w:fill="FFFFFF"/>
          <w:lang w:val="pt-BR"/>
        </w:rPr>
        <w:t>Cripps</w:t>
      </w:r>
      <w:proofErr w:type="spellEnd"/>
      <w:r>
        <w:rPr>
          <w:rFonts w:eastAsia="Segoe UI"/>
          <w:sz w:val="20"/>
          <w:szCs w:val="20"/>
          <w:shd w:val="clear" w:color="auto" w:fill="FFFFFF"/>
          <w:lang w:val="pt-BR"/>
        </w:rPr>
        <w:t xml:space="preserve">, 1621. Disponível em: </w:t>
      </w:r>
      <w:hyperlink r:id="rId70" w:tgtFrame="_new" w:history="1">
        <w:r>
          <w:rPr>
            <w:rStyle w:val="Hyperlink"/>
            <w:rFonts w:eastAsia="Segoe UI"/>
            <w:color w:val="auto"/>
            <w:sz w:val="20"/>
            <w:szCs w:val="20"/>
            <w:shd w:val="clear" w:color="auto" w:fill="FFFFFF"/>
            <w:lang w:val="pt-BR"/>
          </w:rPr>
          <w:t>https://www.gutenberg.org/ebooks/10800</w:t>
        </w:r>
      </w:hyperlink>
      <w:r>
        <w:rPr>
          <w:rFonts w:eastAsia="Segoe UI"/>
          <w:sz w:val="20"/>
          <w:szCs w:val="20"/>
          <w:shd w:val="clear" w:color="auto" w:fill="FFFFFF"/>
          <w:lang w:val="pt-BR"/>
        </w:rPr>
        <w:t xml:space="preserve">.  Acesso em: 1o out. 2025. </w:t>
      </w:r>
    </w:p>
    <w:p w14:paraId="2DD64BE3" w14:textId="77777777" w:rsidR="0003312E" w:rsidRDefault="00000000">
      <w:pPr>
        <w:pStyle w:val="NormalWeb"/>
        <w:numPr>
          <w:ilvl w:val="0"/>
          <w:numId w:val="8"/>
        </w:numPr>
        <w:spacing w:beforeAutospacing="0" w:after="0" w:afterAutospacing="0" w:line="240" w:lineRule="auto"/>
        <w:ind w:left="0" w:firstLine="0"/>
        <w:jc w:val="both"/>
        <w:rPr>
          <w:rFonts w:eastAsia="Segoe UI"/>
          <w:sz w:val="20"/>
          <w:szCs w:val="20"/>
          <w:shd w:val="clear" w:color="auto" w:fill="FFFFFF"/>
          <w:lang w:val="pt-BR"/>
        </w:rPr>
      </w:pPr>
      <w:r>
        <w:rPr>
          <w:rFonts w:eastAsia="Segoe UI"/>
          <w:sz w:val="20"/>
          <w:szCs w:val="20"/>
          <w:shd w:val="clear" w:color="auto" w:fill="FFFFFF"/>
          <w:lang w:val="pt-BR"/>
        </w:rPr>
        <w:t xml:space="preserve">CNRTL-CENTRE NATIONAL DE RESSOURCES TEXTUELLES ET LEXICALES. </w:t>
      </w:r>
      <w:proofErr w:type="spellStart"/>
      <w:r>
        <w:rPr>
          <w:rFonts w:eastAsia="Segoe UI"/>
          <w:i/>
          <w:iCs/>
          <w:sz w:val="20"/>
          <w:szCs w:val="20"/>
          <w:shd w:val="clear" w:color="auto" w:fill="FFFFFF"/>
          <w:lang w:val="pt-BR"/>
        </w:rPr>
        <w:t>Trésor</w:t>
      </w:r>
      <w:proofErr w:type="spellEnd"/>
      <w:r>
        <w:rPr>
          <w:rFonts w:eastAsia="Segoe UI"/>
          <w:i/>
          <w:iCs/>
          <w:sz w:val="20"/>
          <w:szCs w:val="20"/>
          <w:shd w:val="clear" w:color="auto" w:fill="FFFFFF"/>
          <w:lang w:val="pt-BR"/>
        </w:rPr>
        <w:t xml:space="preserve"> de </w:t>
      </w:r>
      <w:proofErr w:type="spellStart"/>
      <w:r>
        <w:rPr>
          <w:rFonts w:eastAsia="Segoe UI"/>
          <w:i/>
          <w:iCs/>
          <w:sz w:val="20"/>
          <w:szCs w:val="20"/>
          <w:shd w:val="clear" w:color="auto" w:fill="FFFFFF"/>
          <w:lang w:val="pt-BR"/>
        </w:rPr>
        <w:t>la</w:t>
      </w:r>
      <w:proofErr w:type="spellEnd"/>
      <w:r>
        <w:rPr>
          <w:rFonts w:eastAsia="Segoe UI"/>
          <w:i/>
          <w:iCs/>
          <w:sz w:val="20"/>
          <w:szCs w:val="20"/>
          <w:shd w:val="clear" w:color="auto" w:fill="FFFFFF"/>
          <w:lang w:val="pt-BR"/>
        </w:rPr>
        <w:t xml:space="preserve"> Langue Française </w:t>
      </w:r>
      <w:proofErr w:type="spellStart"/>
      <w:r>
        <w:rPr>
          <w:rFonts w:eastAsia="Segoe UI"/>
          <w:i/>
          <w:iCs/>
          <w:sz w:val="20"/>
          <w:szCs w:val="20"/>
          <w:shd w:val="clear" w:color="auto" w:fill="FFFFFF"/>
          <w:lang w:val="pt-BR"/>
        </w:rPr>
        <w:t>informatisé</w:t>
      </w:r>
      <w:proofErr w:type="spellEnd"/>
      <w:r>
        <w:rPr>
          <w:rFonts w:eastAsia="Segoe UI"/>
          <w:sz w:val="20"/>
          <w:szCs w:val="20"/>
          <w:shd w:val="clear" w:color="auto" w:fill="FFFFFF"/>
          <w:lang w:val="pt-BR"/>
        </w:rPr>
        <w:t xml:space="preserve">. Nancy: CNRS, 2012. Disponível em: </w:t>
      </w:r>
      <w:r>
        <w:rPr>
          <w:sz w:val="20"/>
          <w:szCs w:val="20"/>
          <w:lang w:val="pt-BR"/>
        </w:rPr>
        <w:t>https://www.cnrtl.fr/etymologie/melancolie</w:t>
      </w:r>
      <w:r>
        <w:rPr>
          <w:rFonts w:eastAsia="Segoe UI"/>
          <w:sz w:val="20"/>
          <w:szCs w:val="20"/>
          <w:shd w:val="clear" w:color="auto" w:fill="FFFFFF"/>
          <w:lang w:val="pt-BR"/>
        </w:rPr>
        <w:t xml:space="preserve">.  Acesso em: 1o out. 2025. </w:t>
      </w:r>
    </w:p>
    <w:p w14:paraId="112A0CBF" w14:textId="77777777" w:rsidR="0003312E" w:rsidRDefault="00000000">
      <w:pPr>
        <w:pStyle w:val="NormalWeb"/>
        <w:numPr>
          <w:ilvl w:val="0"/>
          <w:numId w:val="8"/>
        </w:numPr>
        <w:spacing w:beforeAutospacing="0" w:after="0" w:afterAutospacing="0" w:line="240" w:lineRule="auto"/>
        <w:ind w:left="0" w:firstLine="0"/>
        <w:jc w:val="both"/>
        <w:rPr>
          <w:rFonts w:eastAsia="Segoe UI"/>
          <w:sz w:val="20"/>
          <w:szCs w:val="20"/>
          <w:shd w:val="clear" w:color="auto" w:fill="FFFFFF"/>
          <w:lang w:val="pt-BR"/>
        </w:rPr>
      </w:pPr>
      <w:r>
        <w:rPr>
          <w:rFonts w:eastAsia="Times New Roman"/>
          <w:kern w:val="0"/>
          <w:sz w:val="20"/>
          <w:szCs w:val="20"/>
          <w:lang w:val="pt-BR" w:eastAsia="pt-BR"/>
          <w14:ligatures w14:val="none"/>
        </w:rPr>
        <w:t xml:space="preserve">DECEL - </w:t>
      </w:r>
      <w:proofErr w:type="spellStart"/>
      <w:r>
        <w:rPr>
          <w:rFonts w:eastAsia="Times New Roman"/>
          <w:kern w:val="0"/>
          <w:sz w:val="20"/>
          <w:szCs w:val="20"/>
          <w:lang w:val="pt-BR" w:eastAsia="pt-BR"/>
          <w14:ligatures w14:val="none"/>
        </w:rPr>
        <w:t>Diccionario</w:t>
      </w:r>
      <w:proofErr w:type="spellEnd"/>
      <w:r>
        <w:rPr>
          <w:rFonts w:eastAsia="Times New Roman"/>
          <w:kern w:val="0"/>
          <w:sz w:val="20"/>
          <w:szCs w:val="20"/>
          <w:lang w:val="pt-BR" w:eastAsia="pt-BR"/>
          <w14:ligatures w14:val="none"/>
        </w:rPr>
        <w:t xml:space="preserve"> Etimológico Castellano </w:t>
      </w:r>
      <w:proofErr w:type="spellStart"/>
      <w:r>
        <w:rPr>
          <w:rFonts w:eastAsia="Times New Roman"/>
          <w:kern w:val="0"/>
          <w:sz w:val="20"/>
          <w:szCs w:val="20"/>
          <w:lang w:val="pt-BR" w:eastAsia="pt-BR"/>
          <w14:ligatures w14:val="none"/>
        </w:rPr>
        <w:t>En</w:t>
      </w:r>
      <w:proofErr w:type="spellEnd"/>
      <w:r>
        <w:rPr>
          <w:rFonts w:eastAsia="Times New Roman"/>
          <w:kern w:val="0"/>
          <w:sz w:val="20"/>
          <w:szCs w:val="20"/>
          <w:lang w:val="pt-BR" w:eastAsia="pt-BR"/>
          <w14:ligatures w14:val="none"/>
        </w:rPr>
        <w:t xml:space="preserve"> Línea. Disponível em: &lt;https://etimologias.dechile.net/?</w:t>
      </w:r>
      <w:proofErr w:type="spellStart"/>
      <w:r>
        <w:rPr>
          <w:rFonts w:eastAsia="Times New Roman"/>
          <w:kern w:val="0"/>
          <w:sz w:val="20"/>
          <w:szCs w:val="20"/>
          <w:lang w:val="pt-BR" w:eastAsia="pt-BR"/>
          <w14:ligatures w14:val="none"/>
        </w:rPr>
        <w:t>melancoli.a</w:t>
      </w:r>
      <w:proofErr w:type="spellEnd"/>
      <w:r>
        <w:rPr>
          <w:rFonts w:eastAsia="Times New Roman"/>
          <w:kern w:val="0"/>
          <w:sz w:val="20"/>
          <w:szCs w:val="20"/>
          <w:lang w:val="pt-BR" w:eastAsia="pt-BR"/>
          <w14:ligatures w14:val="none"/>
        </w:rPr>
        <w:t xml:space="preserve">&gt;.  Acesso em: 1o out. 2025. </w:t>
      </w:r>
    </w:p>
    <w:p w14:paraId="1537C797" w14:textId="77777777" w:rsidR="0003312E" w:rsidRDefault="00000000">
      <w:pPr>
        <w:pStyle w:val="NormalWeb"/>
        <w:numPr>
          <w:ilvl w:val="0"/>
          <w:numId w:val="8"/>
        </w:numPr>
        <w:spacing w:beforeAutospacing="0" w:after="0" w:afterAutospacing="0" w:line="240" w:lineRule="auto"/>
        <w:ind w:left="0" w:firstLine="0"/>
        <w:jc w:val="both"/>
        <w:rPr>
          <w:rFonts w:eastAsia="Segoe UI"/>
          <w:sz w:val="20"/>
          <w:szCs w:val="20"/>
          <w:shd w:val="clear" w:color="auto" w:fill="FFFFFF"/>
          <w:lang w:val="pt-BR"/>
        </w:rPr>
      </w:pPr>
      <w:r>
        <w:rPr>
          <w:rFonts w:eastAsia="Segoe UI"/>
          <w:sz w:val="20"/>
          <w:szCs w:val="20"/>
          <w:shd w:val="clear" w:color="auto" w:fill="FFFFFF"/>
        </w:rPr>
        <w:t xml:space="preserve">GOWLAND, Angus. </w:t>
      </w:r>
      <w:r>
        <w:rPr>
          <w:rFonts w:eastAsia="Segoe UI"/>
          <w:i/>
          <w:iCs/>
          <w:sz w:val="20"/>
          <w:szCs w:val="20"/>
          <w:shd w:val="clear" w:color="auto" w:fill="FFFFFF"/>
        </w:rPr>
        <w:t>The Worlds of Renaissance Melancholy: Robert Burton in Context</w:t>
      </w:r>
      <w:r>
        <w:rPr>
          <w:rFonts w:eastAsia="Segoe UI"/>
          <w:sz w:val="20"/>
          <w:szCs w:val="20"/>
          <w:shd w:val="clear" w:color="auto" w:fill="FFFFFF"/>
        </w:rPr>
        <w:t xml:space="preserve">. </w:t>
      </w:r>
      <w:r>
        <w:rPr>
          <w:rFonts w:eastAsia="Segoe UI"/>
          <w:sz w:val="20"/>
          <w:szCs w:val="20"/>
          <w:shd w:val="clear" w:color="auto" w:fill="FFFFFF"/>
          <w:lang w:val="pt-BR"/>
        </w:rPr>
        <w:t xml:space="preserve">Cambridge: Cambridge </w:t>
      </w:r>
      <w:proofErr w:type="spellStart"/>
      <w:r>
        <w:rPr>
          <w:rFonts w:eastAsia="Segoe UI"/>
          <w:sz w:val="20"/>
          <w:szCs w:val="20"/>
          <w:shd w:val="clear" w:color="auto" w:fill="FFFFFF"/>
          <w:lang w:val="pt-BR"/>
        </w:rPr>
        <w:t>University</w:t>
      </w:r>
      <w:proofErr w:type="spellEnd"/>
      <w:r>
        <w:rPr>
          <w:rFonts w:eastAsia="Segoe UI"/>
          <w:sz w:val="20"/>
          <w:szCs w:val="20"/>
          <w:shd w:val="clear" w:color="auto" w:fill="FFFFFF"/>
          <w:lang w:val="pt-BR"/>
        </w:rPr>
        <w:t xml:space="preserve"> Press, 2006. Disponível em: </w:t>
      </w:r>
      <w:hyperlink r:id="rId71" w:tgtFrame="_new" w:history="1">
        <w:r>
          <w:rPr>
            <w:rStyle w:val="Hyperlink"/>
            <w:rFonts w:eastAsia="Segoe UI"/>
            <w:color w:val="auto"/>
            <w:sz w:val="20"/>
            <w:szCs w:val="20"/>
            <w:shd w:val="clear" w:color="auto" w:fill="FFFFFF"/>
            <w:lang w:val="pt-BR"/>
          </w:rPr>
          <w:t>https://www.britannica.com/biography/Robert-Burton</w:t>
        </w:r>
      </w:hyperlink>
      <w:r>
        <w:rPr>
          <w:rFonts w:eastAsia="Segoe UI"/>
          <w:sz w:val="20"/>
          <w:szCs w:val="20"/>
          <w:shd w:val="clear" w:color="auto" w:fill="FFFFFF"/>
          <w:lang w:val="pt-BR"/>
        </w:rPr>
        <w:t xml:space="preserve">.  Acesso em: 1o out. 2025. </w:t>
      </w:r>
    </w:p>
    <w:p w14:paraId="17F0BB48" w14:textId="77777777" w:rsidR="0003312E" w:rsidRDefault="00000000">
      <w:pPr>
        <w:pStyle w:val="NormalWeb"/>
        <w:numPr>
          <w:ilvl w:val="0"/>
          <w:numId w:val="8"/>
        </w:numPr>
        <w:spacing w:beforeAutospacing="0" w:after="0" w:afterAutospacing="0" w:line="240" w:lineRule="auto"/>
        <w:ind w:left="0" w:firstLine="0"/>
        <w:jc w:val="both"/>
        <w:rPr>
          <w:rFonts w:eastAsia="Segoe UI"/>
          <w:sz w:val="20"/>
          <w:szCs w:val="20"/>
          <w:shd w:val="clear" w:color="auto" w:fill="FFFFFF"/>
          <w:lang w:val="pt-BR"/>
        </w:rPr>
      </w:pPr>
      <w:r>
        <w:rPr>
          <w:rFonts w:eastAsia="Segoe UI"/>
          <w:sz w:val="20"/>
          <w:szCs w:val="20"/>
          <w:shd w:val="clear" w:color="auto" w:fill="FFFFFF"/>
        </w:rPr>
        <w:t xml:space="preserve">HARPER, Douglas. </w:t>
      </w:r>
      <w:r>
        <w:rPr>
          <w:rFonts w:eastAsia="Segoe UI"/>
          <w:i/>
          <w:iCs/>
          <w:sz w:val="20"/>
          <w:szCs w:val="20"/>
          <w:shd w:val="clear" w:color="auto" w:fill="FFFFFF"/>
        </w:rPr>
        <w:t>Melancholy</w:t>
      </w:r>
      <w:r>
        <w:rPr>
          <w:rFonts w:eastAsia="Segoe UI"/>
          <w:sz w:val="20"/>
          <w:szCs w:val="20"/>
          <w:shd w:val="clear" w:color="auto" w:fill="FFFFFF"/>
        </w:rPr>
        <w:t>. Online Etymology Dictionary, [</w:t>
      </w:r>
      <w:proofErr w:type="spellStart"/>
      <w:r>
        <w:rPr>
          <w:rFonts w:eastAsia="Segoe UI"/>
          <w:sz w:val="20"/>
          <w:szCs w:val="20"/>
          <w:shd w:val="clear" w:color="auto" w:fill="FFFFFF"/>
        </w:rPr>
        <w:t>S.l.</w:t>
      </w:r>
      <w:proofErr w:type="spellEnd"/>
      <w:r>
        <w:rPr>
          <w:rFonts w:eastAsia="Segoe UI"/>
          <w:sz w:val="20"/>
          <w:szCs w:val="20"/>
          <w:shd w:val="clear" w:color="auto" w:fill="FFFFFF"/>
        </w:rPr>
        <w:t>], [</w:t>
      </w:r>
      <w:proofErr w:type="spellStart"/>
      <w:r>
        <w:rPr>
          <w:rFonts w:eastAsia="Segoe UI"/>
          <w:sz w:val="20"/>
          <w:szCs w:val="20"/>
          <w:shd w:val="clear" w:color="auto" w:fill="FFFFFF"/>
        </w:rPr>
        <w:t>s.d.</w:t>
      </w:r>
      <w:proofErr w:type="spellEnd"/>
      <w:r>
        <w:rPr>
          <w:rFonts w:eastAsia="Segoe UI"/>
          <w:sz w:val="20"/>
          <w:szCs w:val="20"/>
          <w:shd w:val="clear" w:color="auto" w:fill="FFFFFF"/>
        </w:rPr>
        <w:t xml:space="preserve">]. </w:t>
      </w:r>
      <w:r>
        <w:rPr>
          <w:rFonts w:eastAsia="Segoe UI"/>
          <w:sz w:val="20"/>
          <w:szCs w:val="20"/>
          <w:shd w:val="clear" w:color="auto" w:fill="FFFFFF"/>
          <w:lang w:val="pt-BR"/>
        </w:rPr>
        <w:t xml:space="preserve">Disponível em: </w:t>
      </w:r>
      <w:hyperlink r:id="rId72" w:tgtFrame="_new" w:history="1">
        <w:r>
          <w:rPr>
            <w:rStyle w:val="Hyperlink"/>
            <w:rFonts w:eastAsia="Segoe UI"/>
            <w:color w:val="auto"/>
            <w:sz w:val="20"/>
            <w:szCs w:val="20"/>
            <w:shd w:val="clear" w:color="auto" w:fill="FFFFFF"/>
            <w:lang w:val="pt-BR"/>
          </w:rPr>
          <w:t>https://www.etymonline.com/word/melancholy</w:t>
        </w:r>
      </w:hyperlink>
      <w:r>
        <w:rPr>
          <w:rFonts w:eastAsia="Segoe UI"/>
          <w:sz w:val="20"/>
          <w:szCs w:val="20"/>
          <w:shd w:val="clear" w:color="auto" w:fill="FFFFFF"/>
          <w:lang w:val="pt-BR"/>
        </w:rPr>
        <w:t xml:space="preserve">.  Acesso em: 1o out. 2025. </w:t>
      </w:r>
    </w:p>
    <w:p w14:paraId="094D8151" w14:textId="77777777" w:rsidR="0003312E" w:rsidRDefault="00000000">
      <w:pPr>
        <w:pStyle w:val="PargrafodaLista"/>
        <w:numPr>
          <w:ilvl w:val="0"/>
          <w:numId w:val="5"/>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Style w:val="Forte"/>
          <w:rFonts w:ascii="Times New Roman" w:eastAsia="Segoe UI" w:hAnsi="Times New Roman" w:cs="Times New Roman"/>
          <w:b w:val="0"/>
          <w:bCs w:val="0"/>
          <w:sz w:val="20"/>
          <w:szCs w:val="20"/>
          <w:shd w:val="clear" w:color="auto" w:fill="FFFFFF"/>
          <w:lang w:val="en-US"/>
        </w:rPr>
        <w:t>LEWIS, Charlton T.; SHORT, Charles.</w:t>
      </w:r>
      <w:r>
        <w:rPr>
          <w:rFonts w:ascii="Times New Roman" w:eastAsia="Segoe UI" w:hAnsi="Times New Roman" w:cs="Times New Roman"/>
          <w:sz w:val="20"/>
          <w:szCs w:val="20"/>
          <w:shd w:val="clear" w:color="auto" w:fill="FFFFFF"/>
          <w:lang w:val="en-US"/>
        </w:rPr>
        <w:t> </w:t>
      </w:r>
      <w:r>
        <w:rPr>
          <w:rStyle w:val="nfase"/>
          <w:rFonts w:ascii="Times New Roman" w:eastAsia="Segoe UI" w:hAnsi="Times New Roman" w:cs="Times New Roman"/>
          <w:sz w:val="20"/>
          <w:szCs w:val="20"/>
          <w:shd w:val="clear" w:color="auto" w:fill="FFFFFF"/>
          <w:lang w:val="en-US"/>
        </w:rPr>
        <w:t>A Latin Dictionary.</w:t>
      </w:r>
      <w:r>
        <w:rPr>
          <w:rFonts w:ascii="Times New Roman" w:eastAsia="Segoe UI" w:hAnsi="Times New Roman" w:cs="Times New Roman"/>
          <w:sz w:val="20"/>
          <w:szCs w:val="20"/>
          <w:shd w:val="clear" w:color="auto" w:fill="FFFFFF"/>
          <w:lang w:val="en-US"/>
        </w:rPr>
        <w:t xml:space="preserve"> Oxford: Clarendon Press, 1879. </w:t>
      </w:r>
      <w:r>
        <w:rPr>
          <w:rFonts w:ascii="Times New Roman" w:eastAsia="Segoe UI" w:hAnsi="Times New Roman" w:cs="Times New Roman"/>
          <w:sz w:val="20"/>
          <w:szCs w:val="20"/>
          <w:shd w:val="clear" w:color="auto" w:fill="FFFFFF"/>
        </w:rPr>
        <w:t xml:space="preserve">Disponível em: https://www.perseus.tufts.edu/hopper/text?doc=Perseus:text:1999.04.0059:entry=melancholia&amp;highlight=melancholia. </w:t>
      </w:r>
      <w:r>
        <w:rPr>
          <w:rFonts w:ascii="Times New Roman" w:eastAsia="Segoe UI" w:hAnsi="Times New Roman" w:cs="Times New Roman"/>
          <w:sz w:val="20"/>
          <w:szCs w:val="20"/>
          <w:shd w:val="clear" w:color="auto" w:fill="FFFFFF"/>
          <w:lang w:eastAsia="zh-CN"/>
        </w:rPr>
        <w:t>Acesso em: 1o out. 2025.</w:t>
      </w:r>
    </w:p>
    <w:p w14:paraId="7D66B0D3" w14:textId="77777777" w:rsidR="0003312E" w:rsidRDefault="00000000">
      <w:pPr>
        <w:pStyle w:val="NormalWeb"/>
        <w:numPr>
          <w:ilvl w:val="0"/>
          <w:numId w:val="8"/>
        </w:numPr>
        <w:spacing w:beforeAutospacing="0" w:after="0" w:afterAutospacing="0" w:line="240" w:lineRule="auto"/>
        <w:ind w:left="0" w:firstLine="0"/>
        <w:jc w:val="both"/>
        <w:rPr>
          <w:rFonts w:eastAsia="Segoe UI"/>
          <w:sz w:val="20"/>
          <w:szCs w:val="20"/>
          <w:shd w:val="clear" w:color="auto" w:fill="FFFFFF"/>
          <w:lang w:val="pt-BR"/>
        </w:rPr>
      </w:pPr>
      <w:r>
        <w:rPr>
          <w:rFonts w:eastAsia="Segoe UI"/>
          <w:sz w:val="20"/>
          <w:szCs w:val="20"/>
          <w:shd w:val="clear" w:color="auto" w:fill="FFFFFF"/>
          <w:lang w:val="pt-BR"/>
        </w:rPr>
        <w:t xml:space="preserve">RAE-REAL ACADEMIA ESPAÑOLA. </w:t>
      </w:r>
      <w:proofErr w:type="spellStart"/>
      <w:r>
        <w:rPr>
          <w:rFonts w:eastAsia="Segoe UI"/>
          <w:i/>
          <w:iCs/>
          <w:sz w:val="20"/>
          <w:szCs w:val="20"/>
          <w:shd w:val="clear" w:color="auto" w:fill="FFFFFF"/>
          <w:lang w:val="pt-BR"/>
        </w:rPr>
        <w:t>Diccionario</w:t>
      </w:r>
      <w:proofErr w:type="spellEnd"/>
      <w:r>
        <w:rPr>
          <w:rFonts w:eastAsia="Segoe UI"/>
          <w:i/>
          <w:iCs/>
          <w:sz w:val="20"/>
          <w:szCs w:val="20"/>
          <w:shd w:val="clear" w:color="auto" w:fill="FFFFFF"/>
          <w:lang w:val="pt-BR"/>
        </w:rPr>
        <w:t xml:space="preserve"> de </w:t>
      </w:r>
      <w:proofErr w:type="spellStart"/>
      <w:r>
        <w:rPr>
          <w:rFonts w:eastAsia="Segoe UI"/>
          <w:i/>
          <w:iCs/>
          <w:sz w:val="20"/>
          <w:szCs w:val="20"/>
          <w:shd w:val="clear" w:color="auto" w:fill="FFFFFF"/>
          <w:lang w:val="pt-BR"/>
        </w:rPr>
        <w:t>la</w:t>
      </w:r>
      <w:proofErr w:type="spellEnd"/>
      <w:r>
        <w:rPr>
          <w:rFonts w:eastAsia="Segoe UI"/>
          <w:i/>
          <w:iCs/>
          <w:sz w:val="20"/>
          <w:szCs w:val="20"/>
          <w:shd w:val="clear" w:color="auto" w:fill="FFFFFF"/>
          <w:lang w:val="pt-BR"/>
        </w:rPr>
        <w:t xml:space="preserve"> </w:t>
      </w:r>
      <w:proofErr w:type="spellStart"/>
      <w:r>
        <w:rPr>
          <w:rFonts w:eastAsia="Segoe UI"/>
          <w:i/>
          <w:iCs/>
          <w:sz w:val="20"/>
          <w:szCs w:val="20"/>
          <w:shd w:val="clear" w:color="auto" w:fill="FFFFFF"/>
          <w:lang w:val="pt-BR"/>
        </w:rPr>
        <w:t>lengua</w:t>
      </w:r>
      <w:proofErr w:type="spellEnd"/>
      <w:r>
        <w:rPr>
          <w:rFonts w:eastAsia="Segoe UI"/>
          <w:i/>
          <w:iCs/>
          <w:sz w:val="20"/>
          <w:szCs w:val="20"/>
          <w:shd w:val="clear" w:color="auto" w:fill="FFFFFF"/>
          <w:lang w:val="pt-BR"/>
        </w:rPr>
        <w:t xml:space="preserve"> </w:t>
      </w:r>
      <w:proofErr w:type="spellStart"/>
      <w:r>
        <w:rPr>
          <w:rFonts w:eastAsia="Segoe UI"/>
          <w:i/>
          <w:iCs/>
          <w:sz w:val="20"/>
          <w:szCs w:val="20"/>
          <w:shd w:val="clear" w:color="auto" w:fill="FFFFFF"/>
          <w:lang w:val="pt-BR"/>
        </w:rPr>
        <w:t>española</w:t>
      </w:r>
      <w:proofErr w:type="spellEnd"/>
      <w:r>
        <w:rPr>
          <w:rFonts w:eastAsia="Segoe UI"/>
          <w:sz w:val="20"/>
          <w:szCs w:val="20"/>
          <w:shd w:val="clear" w:color="auto" w:fill="FFFFFF"/>
          <w:lang w:val="pt-BR"/>
        </w:rPr>
        <w:t xml:space="preserve">. 23. ed. [Madrid]: RAE, 2014. Disponível em: </w:t>
      </w:r>
      <w:hyperlink r:id="rId73" w:tgtFrame="_new" w:history="1">
        <w:r>
          <w:rPr>
            <w:rStyle w:val="Hyperlink"/>
            <w:rFonts w:eastAsia="Segoe UI"/>
            <w:color w:val="auto"/>
            <w:sz w:val="20"/>
            <w:szCs w:val="20"/>
            <w:shd w:val="clear" w:color="auto" w:fill="FFFFFF"/>
            <w:lang w:val="pt-BR"/>
          </w:rPr>
          <w:t>https://dle.rae.es/</w:t>
        </w:r>
      </w:hyperlink>
      <w:r>
        <w:rPr>
          <w:rFonts w:eastAsia="Segoe UI"/>
          <w:sz w:val="20"/>
          <w:szCs w:val="20"/>
          <w:shd w:val="clear" w:color="auto" w:fill="FFFFFF"/>
          <w:lang w:val="pt-BR"/>
        </w:rPr>
        <w:t xml:space="preserve">.  Acesso em: 1o out. 2025. </w:t>
      </w:r>
    </w:p>
    <w:p w14:paraId="679A9BE4" w14:textId="77777777" w:rsidR="0003312E" w:rsidRDefault="00000000">
      <w:pPr>
        <w:pStyle w:val="NormalWeb"/>
        <w:numPr>
          <w:ilvl w:val="0"/>
          <w:numId w:val="8"/>
        </w:numPr>
        <w:spacing w:beforeAutospacing="0" w:after="0" w:afterAutospacing="0" w:line="240" w:lineRule="auto"/>
        <w:ind w:left="0" w:firstLine="0"/>
        <w:jc w:val="both"/>
        <w:rPr>
          <w:rFonts w:eastAsia="Segoe UI"/>
          <w:sz w:val="20"/>
          <w:szCs w:val="20"/>
          <w:shd w:val="clear" w:color="auto" w:fill="FFFFFF"/>
          <w:lang w:val="pt-BR"/>
        </w:rPr>
      </w:pPr>
      <w:r>
        <w:rPr>
          <w:rFonts w:eastAsia="Segoe UI"/>
          <w:sz w:val="20"/>
          <w:szCs w:val="20"/>
          <w:shd w:val="clear" w:color="auto" w:fill="FFFFFF"/>
        </w:rPr>
        <w:lastRenderedPageBreak/>
        <w:t xml:space="preserve">SCULL, Andrew. </w:t>
      </w:r>
      <w:r>
        <w:rPr>
          <w:rFonts w:eastAsia="Segoe UI"/>
          <w:i/>
          <w:iCs/>
          <w:sz w:val="20"/>
          <w:szCs w:val="20"/>
          <w:shd w:val="clear" w:color="auto" w:fill="FFFFFF"/>
        </w:rPr>
        <w:t>Robert Burton and the melancholy tradition</w:t>
      </w:r>
      <w:r>
        <w:rPr>
          <w:rFonts w:eastAsia="Segoe UI"/>
          <w:sz w:val="20"/>
          <w:szCs w:val="20"/>
          <w:shd w:val="clear" w:color="auto" w:fill="FFFFFF"/>
        </w:rPr>
        <w:t xml:space="preserve">. </w:t>
      </w:r>
      <w:r>
        <w:rPr>
          <w:rFonts w:eastAsia="Segoe UI"/>
          <w:i/>
          <w:iCs/>
          <w:sz w:val="20"/>
          <w:szCs w:val="20"/>
          <w:shd w:val="clear" w:color="auto" w:fill="FFFFFF"/>
        </w:rPr>
        <w:t>History of Psychiatry</w:t>
      </w:r>
      <w:r>
        <w:rPr>
          <w:rFonts w:eastAsia="Segoe UI"/>
          <w:sz w:val="20"/>
          <w:szCs w:val="20"/>
          <w:shd w:val="clear" w:color="auto" w:fill="FFFFFF"/>
        </w:rPr>
        <w:t xml:space="preserve">, v. 22, n. 3, p. 319 - 334, 2011. </w:t>
      </w:r>
      <w:r>
        <w:rPr>
          <w:rFonts w:eastAsia="Segoe UI"/>
          <w:sz w:val="20"/>
          <w:szCs w:val="20"/>
          <w:shd w:val="clear" w:color="auto" w:fill="FFFFFF"/>
          <w:lang w:val="pt-BR"/>
        </w:rPr>
        <w:t xml:space="preserve">Disponível em: </w:t>
      </w:r>
      <w:hyperlink r:id="rId74" w:tgtFrame="_new" w:history="1">
        <w:r>
          <w:rPr>
            <w:rStyle w:val="Hyperlink"/>
            <w:rFonts w:eastAsia="Segoe UI"/>
            <w:color w:val="auto"/>
            <w:sz w:val="20"/>
            <w:szCs w:val="20"/>
            <w:shd w:val="clear" w:color="auto" w:fill="FFFFFF"/>
            <w:lang w:val="pt-BR"/>
          </w:rPr>
          <w:t>https://journals.sagepub.com/doi/pdf/10.1177/0957154X11408725</w:t>
        </w:r>
      </w:hyperlink>
      <w:r>
        <w:rPr>
          <w:rFonts w:eastAsia="Segoe UI"/>
          <w:sz w:val="20"/>
          <w:szCs w:val="20"/>
          <w:shd w:val="clear" w:color="auto" w:fill="FFFFFF"/>
          <w:lang w:val="pt-BR"/>
        </w:rPr>
        <w:t xml:space="preserve">.  Acesso em: 1o out. 2025. </w:t>
      </w:r>
    </w:p>
    <w:p w14:paraId="315B62CE" w14:textId="77777777" w:rsidR="0003312E" w:rsidRDefault="0003312E">
      <w:pPr>
        <w:spacing w:after="0" w:line="360" w:lineRule="auto"/>
        <w:ind w:firstLine="709"/>
        <w:jc w:val="both"/>
        <w:rPr>
          <w:rFonts w:ascii="Times New Roman" w:eastAsia="Segoe UI" w:hAnsi="Times New Roman" w:cs="Times New Roman"/>
          <w:sz w:val="24"/>
          <w:szCs w:val="24"/>
          <w:shd w:val="clear" w:color="auto" w:fill="FFFFFF"/>
          <w:lang w:eastAsia="zh-CN"/>
        </w:rPr>
      </w:pPr>
    </w:p>
    <w:p w14:paraId="19EA3EAC" w14:textId="77777777" w:rsidR="0003312E" w:rsidRDefault="00000000">
      <w:pPr>
        <w:spacing w:after="0" w:line="360" w:lineRule="auto"/>
        <w:ind w:firstLine="709"/>
        <w:jc w:val="both"/>
        <w:rPr>
          <w:rFonts w:ascii="Times New Roman" w:hAnsi="Times New Roman" w:cs="Times New Roman"/>
          <w:b/>
          <w:bCs/>
          <w:sz w:val="24"/>
          <w:szCs w:val="24"/>
        </w:rPr>
      </w:pPr>
      <w:r>
        <w:rPr>
          <w:rFonts w:ascii="Times New Roman" w:eastAsia="Segoe UI" w:hAnsi="Times New Roman" w:cs="Times New Roman"/>
          <w:b/>
          <w:bCs/>
          <w:sz w:val="24"/>
          <w:szCs w:val="24"/>
          <w:shd w:val="clear" w:color="auto" w:fill="FFFFFF"/>
          <w:lang w:eastAsia="zh-CN"/>
        </w:rPr>
        <w:t>Capítulo 5</w:t>
      </w:r>
    </w:p>
    <w:p w14:paraId="4A730B0D" w14:textId="77777777" w:rsidR="0003312E" w:rsidRDefault="00000000">
      <w:pPr>
        <w:pStyle w:val="PargrafodaLista"/>
        <w:numPr>
          <w:ilvl w:val="0"/>
          <w:numId w:val="9"/>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 xml:space="preserve">CNRTL-CENTRE NATIONAL DE RESSOURCES TEXTUELLES ET LEXICALES. </w:t>
      </w:r>
      <w:proofErr w:type="spellStart"/>
      <w:r>
        <w:rPr>
          <w:rFonts w:ascii="Times New Roman" w:eastAsia="Segoe UI" w:hAnsi="Times New Roman" w:cs="Times New Roman"/>
          <w:sz w:val="20"/>
          <w:szCs w:val="20"/>
          <w:shd w:val="clear" w:color="auto" w:fill="FFFFFF"/>
          <w:lang w:eastAsia="zh-CN"/>
        </w:rPr>
        <w:t>Trésor</w:t>
      </w:r>
      <w:proofErr w:type="spellEnd"/>
      <w:r>
        <w:rPr>
          <w:rFonts w:ascii="Times New Roman" w:eastAsia="Segoe UI" w:hAnsi="Times New Roman" w:cs="Times New Roman"/>
          <w:sz w:val="20"/>
          <w:szCs w:val="20"/>
          <w:shd w:val="clear" w:color="auto" w:fill="FFFFFF"/>
          <w:lang w:eastAsia="zh-CN"/>
        </w:rPr>
        <w:t xml:space="preserve"> de </w:t>
      </w:r>
      <w:proofErr w:type="spellStart"/>
      <w:r>
        <w:rPr>
          <w:rFonts w:ascii="Times New Roman" w:eastAsia="Segoe UI" w:hAnsi="Times New Roman" w:cs="Times New Roman"/>
          <w:sz w:val="20"/>
          <w:szCs w:val="20"/>
          <w:shd w:val="clear" w:color="auto" w:fill="FFFFFF"/>
          <w:lang w:eastAsia="zh-CN"/>
        </w:rPr>
        <w:t>la</w:t>
      </w:r>
      <w:proofErr w:type="spellEnd"/>
      <w:r>
        <w:rPr>
          <w:rFonts w:ascii="Times New Roman" w:eastAsia="Segoe UI" w:hAnsi="Times New Roman" w:cs="Times New Roman"/>
          <w:sz w:val="20"/>
          <w:szCs w:val="20"/>
          <w:shd w:val="clear" w:color="auto" w:fill="FFFFFF"/>
          <w:lang w:eastAsia="zh-CN"/>
        </w:rPr>
        <w:t xml:space="preserve"> Langue Française </w:t>
      </w:r>
      <w:proofErr w:type="spellStart"/>
      <w:r>
        <w:rPr>
          <w:rFonts w:ascii="Times New Roman" w:eastAsia="Segoe UI" w:hAnsi="Times New Roman" w:cs="Times New Roman"/>
          <w:sz w:val="20"/>
          <w:szCs w:val="20"/>
          <w:shd w:val="clear" w:color="auto" w:fill="FFFFFF"/>
          <w:lang w:eastAsia="zh-CN"/>
        </w:rPr>
        <w:t>informatisé</w:t>
      </w:r>
      <w:proofErr w:type="spellEnd"/>
      <w:r>
        <w:rPr>
          <w:rFonts w:ascii="Times New Roman" w:eastAsia="Segoe UI" w:hAnsi="Times New Roman" w:cs="Times New Roman"/>
          <w:sz w:val="20"/>
          <w:szCs w:val="20"/>
          <w:shd w:val="clear" w:color="auto" w:fill="FFFFFF"/>
          <w:lang w:eastAsia="zh-CN"/>
        </w:rPr>
        <w:t xml:space="preserve">. Nancy: CNRS, 2012. Disponível em: </w:t>
      </w:r>
      <w:r>
        <w:rPr>
          <w:rFonts w:ascii="Times New Roman" w:hAnsi="Times New Roman" w:cs="Times New Roman"/>
          <w:sz w:val="20"/>
          <w:szCs w:val="20"/>
        </w:rPr>
        <w:t>https://www.cnrtl.fr/etymologie/extase</w:t>
      </w:r>
      <w:r>
        <w:rPr>
          <w:rFonts w:ascii="Times New Roman" w:eastAsia="Segoe UI" w:hAnsi="Times New Roman" w:cs="Times New Roman"/>
          <w:sz w:val="20"/>
          <w:szCs w:val="20"/>
          <w:shd w:val="clear" w:color="auto" w:fill="FFFFFF"/>
          <w:lang w:eastAsia="zh-CN"/>
        </w:rPr>
        <w:t xml:space="preserve">.  Acesso em: 1o out. 2025. </w:t>
      </w:r>
    </w:p>
    <w:p w14:paraId="3A7BBEE6" w14:textId="77777777" w:rsidR="0003312E" w:rsidRDefault="00000000">
      <w:pPr>
        <w:pStyle w:val="PargrafodaLista"/>
        <w:numPr>
          <w:ilvl w:val="0"/>
          <w:numId w:val="9"/>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Times New Roman" w:hAnsi="Times New Roman" w:cs="Times New Roman"/>
          <w:kern w:val="0"/>
          <w:sz w:val="20"/>
          <w:szCs w:val="20"/>
          <w:lang w:eastAsia="pt-BR"/>
          <w14:ligatures w14:val="none"/>
        </w:rPr>
        <w:t xml:space="preserve">DECEL - </w:t>
      </w:r>
      <w:proofErr w:type="spellStart"/>
      <w:r>
        <w:rPr>
          <w:rFonts w:ascii="Times New Roman" w:eastAsia="Times New Roman" w:hAnsi="Times New Roman" w:cs="Times New Roman"/>
          <w:kern w:val="0"/>
          <w:sz w:val="20"/>
          <w:szCs w:val="20"/>
          <w:lang w:eastAsia="pt-BR"/>
          <w14:ligatures w14:val="none"/>
        </w:rPr>
        <w:t>Diccionario</w:t>
      </w:r>
      <w:proofErr w:type="spellEnd"/>
      <w:r>
        <w:rPr>
          <w:rFonts w:ascii="Times New Roman" w:eastAsia="Times New Roman" w:hAnsi="Times New Roman" w:cs="Times New Roman"/>
          <w:kern w:val="0"/>
          <w:sz w:val="20"/>
          <w:szCs w:val="20"/>
          <w:lang w:eastAsia="pt-BR"/>
          <w14:ligatures w14:val="none"/>
        </w:rPr>
        <w:t xml:space="preserve"> Etimológico Castellano </w:t>
      </w:r>
      <w:proofErr w:type="spellStart"/>
      <w:r>
        <w:rPr>
          <w:rFonts w:ascii="Times New Roman" w:eastAsia="Times New Roman" w:hAnsi="Times New Roman" w:cs="Times New Roman"/>
          <w:kern w:val="0"/>
          <w:sz w:val="20"/>
          <w:szCs w:val="20"/>
          <w:lang w:eastAsia="pt-BR"/>
          <w14:ligatures w14:val="none"/>
        </w:rPr>
        <w:t>En</w:t>
      </w:r>
      <w:proofErr w:type="spellEnd"/>
      <w:r>
        <w:rPr>
          <w:rFonts w:ascii="Times New Roman" w:eastAsia="Times New Roman" w:hAnsi="Times New Roman" w:cs="Times New Roman"/>
          <w:kern w:val="0"/>
          <w:sz w:val="20"/>
          <w:szCs w:val="20"/>
          <w:lang w:eastAsia="pt-BR"/>
          <w14:ligatures w14:val="none"/>
        </w:rPr>
        <w:t xml:space="preserve"> Línea. Disponível em: &lt;</w:t>
      </w:r>
      <w:hyperlink r:id="rId75" w:tgtFrame="_new" w:history="1">
        <w:r>
          <w:rPr>
            <w:rStyle w:val="Hyperlink"/>
            <w:rFonts w:ascii="Times New Roman" w:eastAsia="Segoe UI" w:hAnsi="Times New Roman" w:cs="Times New Roman"/>
            <w:color w:val="auto"/>
            <w:sz w:val="20"/>
            <w:szCs w:val="20"/>
            <w:shd w:val="clear" w:color="auto" w:fill="FFFFFF"/>
            <w:lang w:eastAsia="zh-CN"/>
          </w:rPr>
          <w:t>https://etimologias.dechile.net/?e.xtasis</w:t>
        </w:r>
      </w:hyperlink>
      <w:r>
        <w:rPr>
          <w:rFonts w:ascii="Times New Roman" w:eastAsia="Segoe UI" w:hAnsi="Times New Roman" w:cs="Times New Roman"/>
          <w:sz w:val="20"/>
          <w:szCs w:val="20"/>
          <w:shd w:val="clear" w:color="auto" w:fill="FFFFFF"/>
          <w:lang w:eastAsia="zh-CN"/>
        </w:rPr>
        <w:t xml:space="preserve">. </w:t>
      </w:r>
      <w:r>
        <w:rPr>
          <w:rFonts w:ascii="Times New Roman" w:eastAsia="Times New Roman" w:hAnsi="Times New Roman" w:cs="Times New Roman"/>
          <w:kern w:val="0"/>
          <w:sz w:val="20"/>
          <w:szCs w:val="20"/>
          <w:lang w:eastAsia="pt-BR"/>
          <w14:ligatures w14:val="none"/>
        </w:rPr>
        <w:t xml:space="preserve">&gt;.  Acesso em: 1o out. 2025. </w:t>
      </w:r>
    </w:p>
    <w:p w14:paraId="38575AD7" w14:textId="77777777" w:rsidR="0003312E" w:rsidRDefault="00000000">
      <w:pPr>
        <w:pStyle w:val="PargrafodaLista"/>
        <w:numPr>
          <w:ilvl w:val="0"/>
          <w:numId w:val="9"/>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val="en-US" w:eastAsia="zh-CN"/>
        </w:rPr>
        <w:t xml:space="preserve">HARPER, Douglas. Online Etymology Dictionary. </w:t>
      </w:r>
      <w:r>
        <w:rPr>
          <w:rFonts w:ascii="Times New Roman" w:eastAsia="Segoe UI" w:hAnsi="Times New Roman" w:cs="Times New Roman"/>
          <w:sz w:val="20"/>
          <w:szCs w:val="20"/>
          <w:shd w:val="clear" w:color="auto" w:fill="FFFFFF"/>
          <w:lang w:eastAsia="zh-CN"/>
        </w:rPr>
        <w:t xml:space="preserve">2001-2024. Disponível em: </w:t>
      </w:r>
      <w:hyperlink r:id="rId76" w:tgtFrame="_new" w:history="1">
        <w:r>
          <w:rPr>
            <w:rStyle w:val="Hyperlink"/>
            <w:rFonts w:ascii="Times New Roman" w:eastAsia="Segoe UI" w:hAnsi="Times New Roman" w:cs="Times New Roman"/>
            <w:color w:val="auto"/>
            <w:sz w:val="20"/>
            <w:szCs w:val="20"/>
            <w:shd w:val="clear" w:color="auto" w:fill="FFFFFF"/>
            <w:lang w:eastAsia="zh-CN"/>
          </w:rPr>
          <w:t>https://www.etymonline.com/word/ecstasy</w:t>
        </w:r>
      </w:hyperlink>
      <w:r>
        <w:rPr>
          <w:rFonts w:ascii="Times New Roman" w:eastAsia="Segoe UI" w:hAnsi="Times New Roman" w:cs="Times New Roman"/>
          <w:sz w:val="20"/>
          <w:szCs w:val="20"/>
          <w:shd w:val="clear" w:color="auto" w:fill="FFFFFF"/>
          <w:lang w:eastAsia="zh-CN"/>
        </w:rPr>
        <w:t xml:space="preserve">..  Acesso em: 1o out. 2025. </w:t>
      </w:r>
    </w:p>
    <w:p w14:paraId="0A44C96B" w14:textId="77777777" w:rsidR="0003312E" w:rsidRDefault="00000000">
      <w:pPr>
        <w:pStyle w:val="PargrafodaLista"/>
        <w:numPr>
          <w:ilvl w:val="0"/>
          <w:numId w:val="9"/>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val="en-US" w:eastAsia="zh-CN"/>
        </w:rPr>
        <w:t xml:space="preserve">NEWBERG, Andrew; LEE, Bruce. The neuroscientific study of religious and spiritual phenomena. </w:t>
      </w:r>
      <w:proofErr w:type="spellStart"/>
      <w:r>
        <w:rPr>
          <w:rFonts w:ascii="Times New Roman" w:eastAsia="Segoe UI" w:hAnsi="Times New Roman" w:cs="Times New Roman"/>
          <w:sz w:val="20"/>
          <w:szCs w:val="20"/>
          <w:shd w:val="clear" w:color="auto" w:fill="FFFFFF"/>
          <w:lang w:eastAsia="zh-CN"/>
        </w:rPr>
        <w:t>Zygon</w:t>
      </w:r>
      <w:proofErr w:type="spellEnd"/>
      <w:r>
        <w:rPr>
          <w:rFonts w:ascii="Times New Roman" w:eastAsia="Segoe UI" w:hAnsi="Times New Roman" w:cs="Times New Roman"/>
          <w:sz w:val="20"/>
          <w:szCs w:val="20"/>
          <w:shd w:val="clear" w:color="auto" w:fill="FFFFFF"/>
          <w:lang w:eastAsia="zh-CN"/>
        </w:rPr>
        <w:t xml:space="preserve">, v. 40, n. 2, p. 469 - 490, 2005. Disponível em: </w:t>
      </w:r>
      <w:hyperlink r:id="rId77" w:tgtFrame="_new" w:history="1">
        <w:r>
          <w:rPr>
            <w:rStyle w:val="Hyperlink"/>
            <w:rFonts w:ascii="Times New Roman" w:eastAsia="Segoe UI" w:hAnsi="Times New Roman" w:cs="Times New Roman"/>
            <w:color w:val="auto"/>
            <w:sz w:val="20"/>
            <w:szCs w:val="20"/>
            <w:shd w:val="clear" w:color="auto" w:fill="FFFFFF"/>
            <w:lang w:eastAsia="zh-CN"/>
          </w:rPr>
          <w:t>https://onlinelibrary.wiley.com/doi/pdf/10.1111/j.1467-9744.2005.00679.x</w:t>
        </w:r>
      </w:hyperlink>
      <w:r>
        <w:rPr>
          <w:rFonts w:ascii="Times New Roman" w:eastAsia="Segoe UI" w:hAnsi="Times New Roman" w:cs="Times New Roman"/>
          <w:sz w:val="20"/>
          <w:szCs w:val="20"/>
          <w:shd w:val="clear" w:color="auto" w:fill="FFFFFF"/>
          <w:lang w:eastAsia="zh-CN"/>
        </w:rPr>
        <w:t xml:space="preserve">.  Acesso em: 1o out. 2025. </w:t>
      </w:r>
    </w:p>
    <w:p w14:paraId="0BEFC326" w14:textId="77777777" w:rsidR="0003312E" w:rsidRDefault="00000000">
      <w:pPr>
        <w:pStyle w:val="PargrafodaLista"/>
        <w:numPr>
          <w:ilvl w:val="0"/>
          <w:numId w:val="9"/>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 xml:space="preserve">RAE-REAL ACADEMIA ESPAÑOLA. </w:t>
      </w:r>
      <w:proofErr w:type="spellStart"/>
      <w:r>
        <w:rPr>
          <w:rFonts w:ascii="Times New Roman" w:eastAsia="Segoe UI" w:hAnsi="Times New Roman" w:cs="Times New Roman"/>
          <w:sz w:val="20"/>
          <w:szCs w:val="20"/>
          <w:shd w:val="clear" w:color="auto" w:fill="FFFFFF"/>
          <w:lang w:eastAsia="zh-CN"/>
        </w:rPr>
        <w:t>Diccionario</w:t>
      </w:r>
      <w:proofErr w:type="spellEnd"/>
      <w:r>
        <w:rPr>
          <w:rFonts w:ascii="Times New Roman" w:eastAsia="Segoe UI" w:hAnsi="Times New Roman" w:cs="Times New Roman"/>
          <w:sz w:val="20"/>
          <w:szCs w:val="20"/>
          <w:shd w:val="clear" w:color="auto" w:fill="FFFFFF"/>
          <w:lang w:eastAsia="zh-CN"/>
        </w:rPr>
        <w:t xml:space="preserve"> de </w:t>
      </w:r>
      <w:proofErr w:type="spellStart"/>
      <w:r>
        <w:rPr>
          <w:rFonts w:ascii="Times New Roman" w:eastAsia="Segoe UI" w:hAnsi="Times New Roman" w:cs="Times New Roman"/>
          <w:sz w:val="20"/>
          <w:szCs w:val="20"/>
          <w:shd w:val="clear" w:color="auto" w:fill="FFFFFF"/>
          <w:lang w:eastAsia="zh-CN"/>
        </w:rPr>
        <w:t>la</w:t>
      </w:r>
      <w:proofErr w:type="spellEnd"/>
      <w:r>
        <w:rPr>
          <w:rFonts w:ascii="Times New Roman" w:eastAsia="Segoe UI" w:hAnsi="Times New Roman" w:cs="Times New Roman"/>
          <w:sz w:val="20"/>
          <w:szCs w:val="20"/>
          <w:shd w:val="clear" w:color="auto" w:fill="FFFFFF"/>
          <w:lang w:eastAsia="zh-CN"/>
        </w:rPr>
        <w:t xml:space="preserve"> </w:t>
      </w:r>
      <w:proofErr w:type="spellStart"/>
      <w:r>
        <w:rPr>
          <w:rFonts w:ascii="Times New Roman" w:eastAsia="Segoe UI" w:hAnsi="Times New Roman" w:cs="Times New Roman"/>
          <w:sz w:val="20"/>
          <w:szCs w:val="20"/>
          <w:shd w:val="clear" w:color="auto" w:fill="FFFFFF"/>
          <w:lang w:eastAsia="zh-CN"/>
        </w:rPr>
        <w:t>lengua</w:t>
      </w:r>
      <w:proofErr w:type="spellEnd"/>
      <w:r>
        <w:rPr>
          <w:rFonts w:ascii="Times New Roman" w:eastAsia="Segoe UI" w:hAnsi="Times New Roman" w:cs="Times New Roman"/>
          <w:sz w:val="20"/>
          <w:szCs w:val="20"/>
          <w:shd w:val="clear" w:color="auto" w:fill="FFFFFF"/>
          <w:lang w:eastAsia="zh-CN"/>
        </w:rPr>
        <w:t xml:space="preserve"> </w:t>
      </w:r>
      <w:proofErr w:type="spellStart"/>
      <w:r>
        <w:rPr>
          <w:rFonts w:ascii="Times New Roman" w:eastAsia="Segoe UI" w:hAnsi="Times New Roman" w:cs="Times New Roman"/>
          <w:sz w:val="20"/>
          <w:szCs w:val="20"/>
          <w:shd w:val="clear" w:color="auto" w:fill="FFFFFF"/>
          <w:lang w:eastAsia="zh-CN"/>
        </w:rPr>
        <w:t>española</w:t>
      </w:r>
      <w:proofErr w:type="spellEnd"/>
      <w:r>
        <w:rPr>
          <w:rFonts w:ascii="Times New Roman" w:eastAsia="Segoe UI" w:hAnsi="Times New Roman" w:cs="Times New Roman"/>
          <w:sz w:val="20"/>
          <w:szCs w:val="20"/>
          <w:shd w:val="clear" w:color="auto" w:fill="FFFFFF"/>
          <w:lang w:eastAsia="zh-CN"/>
        </w:rPr>
        <w:t xml:space="preserve">. 23. ed. [Madrid]: RAE, 2014. Disponível em: </w:t>
      </w:r>
      <w:r>
        <w:rPr>
          <w:rFonts w:ascii="Times New Roman" w:hAnsi="Times New Roman" w:cs="Times New Roman"/>
          <w:sz w:val="20"/>
          <w:szCs w:val="20"/>
        </w:rPr>
        <w:t>https://dle.rae.es/éxtasis?m=form</w:t>
      </w:r>
      <w:r>
        <w:rPr>
          <w:rFonts w:ascii="Times New Roman" w:eastAsia="Segoe UI" w:hAnsi="Times New Roman" w:cs="Times New Roman"/>
          <w:sz w:val="20"/>
          <w:szCs w:val="20"/>
          <w:shd w:val="clear" w:color="auto" w:fill="FFFFFF"/>
          <w:lang w:eastAsia="zh-CN"/>
        </w:rPr>
        <w:t xml:space="preserve">.  Acesso em: 1o out. 2025. </w:t>
      </w:r>
    </w:p>
    <w:p w14:paraId="081E41E7" w14:textId="77777777" w:rsidR="0003312E" w:rsidRDefault="00000000">
      <w:pPr>
        <w:pStyle w:val="PargrafodaLista"/>
        <w:numPr>
          <w:ilvl w:val="0"/>
          <w:numId w:val="9"/>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 xml:space="preserve">TERESA DE ÁVILA, Santa. The Life </w:t>
      </w:r>
      <w:proofErr w:type="spellStart"/>
      <w:r>
        <w:rPr>
          <w:rFonts w:ascii="Times New Roman" w:eastAsia="Segoe UI" w:hAnsi="Times New Roman" w:cs="Times New Roman"/>
          <w:sz w:val="20"/>
          <w:szCs w:val="20"/>
          <w:shd w:val="clear" w:color="auto" w:fill="FFFFFF"/>
          <w:lang w:eastAsia="zh-CN"/>
        </w:rPr>
        <w:t>of</w:t>
      </w:r>
      <w:proofErr w:type="spellEnd"/>
      <w:r>
        <w:rPr>
          <w:rFonts w:ascii="Times New Roman" w:eastAsia="Segoe UI" w:hAnsi="Times New Roman" w:cs="Times New Roman"/>
          <w:sz w:val="20"/>
          <w:szCs w:val="20"/>
          <w:shd w:val="clear" w:color="auto" w:fill="FFFFFF"/>
          <w:lang w:eastAsia="zh-CN"/>
        </w:rPr>
        <w:t xml:space="preserve"> St. Teresa </w:t>
      </w:r>
      <w:proofErr w:type="spellStart"/>
      <w:r>
        <w:rPr>
          <w:rFonts w:ascii="Times New Roman" w:eastAsia="Segoe UI" w:hAnsi="Times New Roman" w:cs="Times New Roman"/>
          <w:sz w:val="20"/>
          <w:szCs w:val="20"/>
          <w:shd w:val="clear" w:color="auto" w:fill="FFFFFF"/>
          <w:lang w:eastAsia="zh-CN"/>
        </w:rPr>
        <w:t>of</w:t>
      </w:r>
      <w:proofErr w:type="spellEnd"/>
      <w:r>
        <w:rPr>
          <w:rFonts w:ascii="Times New Roman" w:eastAsia="Segoe UI" w:hAnsi="Times New Roman" w:cs="Times New Roman"/>
          <w:sz w:val="20"/>
          <w:szCs w:val="20"/>
          <w:shd w:val="clear" w:color="auto" w:fill="FFFFFF"/>
          <w:lang w:eastAsia="zh-CN"/>
        </w:rPr>
        <w:t xml:space="preserve"> Jesus. Tradução de David Lewis. London: Thomas Baker, 1904. Disponível em: </w:t>
      </w:r>
      <w:hyperlink r:id="rId78" w:tgtFrame="_new" w:history="1">
        <w:r>
          <w:rPr>
            <w:rStyle w:val="Hyperlink"/>
            <w:rFonts w:ascii="Times New Roman" w:eastAsia="Segoe UI" w:hAnsi="Times New Roman" w:cs="Times New Roman"/>
            <w:color w:val="auto"/>
            <w:sz w:val="20"/>
            <w:szCs w:val="20"/>
            <w:shd w:val="clear" w:color="auto" w:fill="FFFFFF"/>
            <w:lang w:eastAsia="zh-CN"/>
          </w:rPr>
          <w:t>https://www.gutenberg.org/files/8120/8120-h/8120-h.htm</w:t>
        </w:r>
      </w:hyperlink>
      <w:r>
        <w:rPr>
          <w:rFonts w:ascii="Times New Roman" w:eastAsia="Segoe UI" w:hAnsi="Times New Roman" w:cs="Times New Roman"/>
          <w:sz w:val="20"/>
          <w:szCs w:val="20"/>
          <w:shd w:val="clear" w:color="auto" w:fill="FFFFFF"/>
          <w:lang w:eastAsia="zh-CN"/>
        </w:rPr>
        <w:t xml:space="preserve">.  Acesso em: 1o out. 2025. </w:t>
      </w:r>
    </w:p>
    <w:p w14:paraId="0BD2FE22" w14:textId="77777777" w:rsidR="0003312E" w:rsidRDefault="00000000">
      <w:pPr>
        <w:pStyle w:val="PargrafodaLista"/>
        <w:numPr>
          <w:ilvl w:val="0"/>
          <w:numId w:val="9"/>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val="en-US" w:eastAsia="zh-CN"/>
        </w:rPr>
        <w:t xml:space="preserve">TWOMEY, Lesley. St Teresa of Avila: Her Writings and Life. </w:t>
      </w:r>
      <w:r>
        <w:rPr>
          <w:rFonts w:ascii="Times New Roman" w:eastAsia="Segoe UI" w:hAnsi="Times New Roman" w:cs="Times New Roman"/>
          <w:sz w:val="20"/>
          <w:szCs w:val="20"/>
          <w:shd w:val="clear" w:color="auto" w:fill="FFFFFF"/>
          <w:lang w:eastAsia="zh-CN"/>
        </w:rPr>
        <w:t xml:space="preserve">Cambridge: Legenda </w:t>
      </w:r>
      <w:proofErr w:type="spellStart"/>
      <w:r>
        <w:rPr>
          <w:rFonts w:ascii="Times New Roman" w:eastAsia="Segoe UI" w:hAnsi="Times New Roman" w:cs="Times New Roman"/>
          <w:sz w:val="20"/>
          <w:szCs w:val="20"/>
          <w:shd w:val="clear" w:color="auto" w:fill="FFFFFF"/>
          <w:lang w:eastAsia="zh-CN"/>
        </w:rPr>
        <w:t>eBooks</w:t>
      </w:r>
      <w:proofErr w:type="spellEnd"/>
      <w:r>
        <w:rPr>
          <w:rFonts w:ascii="Times New Roman" w:eastAsia="Segoe UI" w:hAnsi="Times New Roman" w:cs="Times New Roman"/>
          <w:sz w:val="20"/>
          <w:szCs w:val="20"/>
          <w:shd w:val="clear" w:color="auto" w:fill="FFFFFF"/>
          <w:lang w:eastAsia="zh-CN"/>
        </w:rPr>
        <w:t xml:space="preserve">, 2018. Disponível em: </w:t>
      </w:r>
      <w:hyperlink r:id="rId79" w:tgtFrame="_new" w:history="1">
        <w:r>
          <w:rPr>
            <w:rStyle w:val="Hyperlink"/>
            <w:rFonts w:ascii="Times New Roman" w:eastAsia="Segoe UI" w:hAnsi="Times New Roman" w:cs="Times New Roman"/>
            <w:color w:val="auto"/>
            <w:sz w:val="20"/>
            <w:szCs w:val="20"/>
            <w:shd w:val="clear" w:color="auto" w:fill="FFFFFF"/>
            <w:lang w:eastAsia="zh-CN"/>
          </w:rPr>
          <w:t>https://www.academia.edu/121940119/St_Teresa_of_Avila_Her_Writings_and_Life</w:t>
        </w:r>
      </w:hyperlink>
      <w:r>
        <w:rPr>
          <w:rFonts w:ascii="Times New Roman" w:eastAsia="Segoe UI" w:hAnsi="Times New Roman" w:cs="Times New Roman"/>
          <w:sz w:val="20"/>
          <w:szCs w:val="20"/>
          <w:shd w:val="clear" w:color="auto" w:fill="FFFFFF"/>
          <w:lang w:eastAsia="zh-CN"/>
        </w:rPr>
        <w:t xml:space="preserve">.  Acesso em: 1o out. 2025. </w:t>
      </w:r>
    </w:p>
    <w:p w14:paraId="386C0F35" w14:textId="77777777" w:rsidR="0003312E" w:rsidRDefault="0003312E">
      <w:pPr>
        <w:spacing w:after="0" w:line="240" w:lineRule="auto"/>
        <w:jc w:val="both"/>
        <w:rPr>
          <w:rFonts w:ascii="Times New Roman" w:eastAsia="Segoe UI" w:hAnsi="Times New Roman" w:cs="Times New Roman"/>
          <w:sz w:val="20"/>
          <w:szCs w:val="20"/>
          <w:shd w:val="clear" w:color="auto" w:fill="FFFFFF"/>
          <w:lang w:val="en-US" w:eastAsia="zh-CN"/>
        </w:rPr>
      </w:pPr>
    </w:p>
    <w:p w14:paraId="24902837" w14:textId="77777777" w:rsidR="0003312E" w:rsidRDefault="00000000">
      <w:pPr>
        <w:pStyle w:val="NormalWeb"/>
        <w:spacing w:beforeAutospacing="0" w:after="0" w:afterAutospacing="0" w:line="360" w:lineRule="auto"/>
        <w:ind w:firstLine="709"/>
        <w:jc w:val="both"/>
        <w:rPr>
          <w:rFonts w:eastAsia="Segoe UI"/>
          <w:b/>
          <w:bCs/>
          <w:sz w:val="24"/>
          <w:shd w:val="clear" w:color="auto" w:fill="FFFFFF"/>
          <w:lang w:val="pt-BR"/>
        </w:rPr>
      </w:pPr>
      <w:r>
        <w:rPr>
          <w:rFonts w:eastAsia="Segoe UI"/>
          <w:b/>
          <w:bCs/>
          <w:sz w:val="24"/>
          <w:shd w:val="clear" w:color="auto" w:fill="FFFFFF"/>
          <w:lang w:val="pt-BR"/>
        </w:rPr>
        <w:t>Capítulo 6</w:t>
      </w:r>
    </w:p>
    <w:p w14:paraId="49639627" w14:textId="77777777" w:rsidR="0003312E" w:rsidRDefault="00000000">
      <w:pPr>
        <w:pStyle w:val="NormalWeb"/>
        <w:numPr>
          <w:ilvl w:val="0"/>
          <w:numId w:val="10"/>
        </w:numPr>
        <w:spacing w:beforeAutospacing="0" w:after="0" w:afterAutospacing="0" w:line="240" w:lineRule="auto"/>
        <w:ind w:left="0" w:firstLine="0"/>
        <w:jc w:val="both"/>
        <w:rPr>
          <w:rFonts w:eastAsia="Segoe UI"/>
          <w:sz w:val="20"/>
          <w:szCs w:val="20"/>
          <w:shd w:val="clear" w:color="auto" w:fill="FFFFFF"/>
          <w:lang w:val="pt-BR"/>
        </w:rPr>
      </w:pPr>
      <w:r>
        <w:rPr>
          <w:rFonts w:eastAsia="Segoe UI"/>
          <w:sz w:val="20"/>
          <w:szCs w:val="20"/>
          <w:shd w:val="clear" w:color="auto" w:fill="FFFFFF"/>
          <w:lang w:val="pt-BR"/>
        </w:rPr>
        <w:t xml:space="preserve">CNRTL-CENTRE NATIONAL DE RESSOURCES TEXTUELLES ET LEXICALES. </w:t>
      </w:r>
      <w:proofErr w:type="spellStart"/>
      <w:r>
        <w:rPr>
          <w:rFonts w:eastAsia="Segoe UI"/>
          <w:sz w:val="20"/>
          <w:szCs w:val="20"/>
          <w:shd w:val="clear" w:color="auto" w:fill="FFFFFF"/>
          <w:lang w:val="pt-BR"/>
        </w:rPr>
        <w:t>Trésor</w:t>
      </w:r>
      <w:proofErr w:type="spellEnd"/>
      <w:r>
        <w:rPr>
          <w:rFonts w:eastAsia="Segoe UI"/>
          <w:sz w:val="20"/>
          <w:szCs w:val="20"/>
          <w:shd w:val="clear" w:color="auto" w:fill="FFFFFF"/>
          <w:lang w:val="pt-BR"/>
        </w:rPr>
        <w:t xml:space="preserve"> de </w:t>
      </w:r>
      <w:proofErr w:type="spellStart"/>
      <w:r>
        <w:rPr>
          <w:rFonts w:eastAsia="Segoe UI"/>
          <w:sz w:val="20"/>
          <w:szCs w:val="20"/>
          <w:shd w:val="clear" w:color="auto" w:fill="FFFFFF"/>
          <w:lang w:val="pt-BR"/>
        </w:rPr>
        <w:t>la</w:t>
      </w:r>
      <w:proofErr w:type="spellEnd"/>
      <w:r>
        <w:rPr>
          <w:rFonts w:eastAsia="Segoe UI"/>
          <w:sz w:val="20"/>
          <w:szCs w:val="20"/>
          <w:shd w:val="clear" w:color="auto" w:fill="FFFFFF"/>
          <w:lang w:val="pt-BR"/>
        </w:rPr>
        <w:t xml:space="preserve"> Langue Française </w:t>
      </w:r>
      <w:proofErr w:type="spellStart"/>
      <w:r>
        <w:rPr>
          <w:rFonts w:eastAsia="Segoe UI"/>
          <w:sz w:val="20"/>
          <w:szCs w:val="20"/>
          <w:shd w:val="clear" w:color="auto" w:fill="FFFFFF"/>
          <w:lang w:val="pt-BR"/>
        </w:rPr>
        <w:t>informatisé</w:t>
      </w:r>
      <w:proofErr w:type="spellEnd"/>
      <w:r>
        <w:rPr>
          <w:rFonts w:eastAsia="Segoe UI"/>
          <w:sz w:val="20"/>
          <w:szCs w:val="20"/>
          <w:shd w:val="clear" w:color="auto" w:fill="FFFFFF"/>
          <w:lang w:val="pt-BR"/>
        </w:rPr>
        <w:t xml:space="preserve">. Nancy: CNRS, 2012. Disponível em: </w:t>
      </w:r>
      <w:r>
        <w:rPr>
          <w:sz w:val="20"/>
          <w:szCs w:val="20"/>
          <w:lang w:val="pt-BR"/>
        </w:rPr>
        <w:t>https://www.cnrtl.fr/etymologie/delire</w:t>
      </w:r>
      <w:r>
        <w:rPr>
          <w:rFonts w:eastAsia="Segoe UI"/>
          <w:sz w:val="20"/>
          <w:szCs w:val="20"/>
          <w:shd w:val="clear" w:color="auto" w:fill="FFFFFF"/>
          <w:lang w:val="pt-BR"/>
        </w:rPr>
        <w:t xml:space="preserve">.  Acesso em: 1o out. 2025. </w:t>
      </w:r>
    </w:p>
    <w:p w14:paraId="0C843DA6" w14:textId="77777777" w:rsidR="0003312E" w:rsidRDefault="00000000">
      <w:pPr>
        <w:pStyle w:val="NormalWeb"/>
        <w:numPr>
          <w:ilvl w:val="0"/>
          <w:numId w:val="10"/>
        </w:numPr>
        <w:spacing w:beforeAutospacing="0" w:after="0" w:afterAutospacing="0" w:line="240" w:lineRule="auto"/>
        <w:ind w:left="0" w:firstLine="0"/>
        <w:jc w:val="both"/>
        <w:rPr>
          <w:rFonts w:eastAsia="Segoe UI"/>
          <w:sz w:val="20"/>
          <w:szCs w:val="20"/>
          <w:shd w:val="clear" w:color="auto" w:fill="FFFFFF"/>
          <w:lang w:val="pt-BR"/>
        </w:rPr>
      </w:pPr>
      <w:r>
        <w:rPr>
          <w:rFonts w:eastAsia="Times New Roman"/>
          <w:kern w:val="0"/>
          <w:sz w:val="20"/>
          <w:szCs w:val="20"/>
          <w:lang w:val="pt-BR" w:eastAsia="pt-BR"/>
          <w14:ligatures w14:val="none"/>
        </w:rPr>
        <w:t xml:space="preserve">DECEL - </w:t>
      </w:r>
      <w:proofErr w:type="spellStart"/>
      <w:r>
        <w:rPr>
          <w:rFonts w:eastAsia="Times New Roman"/>
          <w:kern w:val="0"/>
          <w:sz w:val="20"/>
          <w:szCs w:val="20"/>
          <w:lang w:val="pt-BR" w:eastAsia="pt-BR"/>
          <w14:ligatures w14:val="none"/>
        </w:rPr>
        <w:t>Diccionario</w:t>
      </w:r>
      <w:proofErr w:type="spellEnd"/>
      <w:r>
        <w:rPr>
          <w:rFonts w:eastAsia="Times New Roman"/>
          <w:kern w:val="0"/>
          <w:sz w:val="20"/>
          <w:szCs w:val="20"/>
          <w:lang w:val="pt-BR" w:eastAsia="pt-BR"/>
          <w14:ligatures w14:val="none"/>
        </w:rPr>
        <w:t xml:space="preserve"> Etimológico Castellano </w:t>
      </w:r>
      <w:proofErr w:type="spellStart"/>
      <w:r>
        <w:rPr>
          <w:rFonts w:eastAsia="Times New Roman"/>
          <w:kern w:val="0"/>
          <w:sz w:val="20"/>
          <w:szCs w:val="20"/>
          <w:lang w:val="pt-BR" w:eastAsia="pt-BR"/>
          <w14:ligatures w14:val="none"/>
        </w:rPr>
        <w:t>En</w:t>
      </w:r>
      <w:proofErr w:type="spellEnd"/>
      <w:r>
        <w:rPr>
          <w:rFonts w:eastAsia="Times New Roman"/>
          <w:kern w:val="0"/>
          <w:sz w:val="20"/>
          <w:szCs w:val="20"/>
          <w:lang w:val="pt-BR" w:eastAsia="pt-BR"/>
          <w14:ligatures w14:val="none"/>
        </w:rPr>
        <w:t xml:space="preserve"> Línea. Disponível em: &lt;</w:t>
      </w:r>
      <w:hyperlink r:id="rId80" w:tgtFrame="_new" w:history="1">
        <w:r>
          <w:rPr>
            <w:rStyle w:val="Hyperlink"/>
            <w:rFonts w:eastAsia="Segoe UI"/>
            <w:color w:val="auto"/>
            <w:sz w:val="20"/>
            <w:szCs w:val="20"/>
            <w:shd w:val="clear" w:color="auto" w:fill="FFFFFF"/>
            <w:lang w:val="pt-BR"/>
          </w:rPr>
          <w:t>https://etimologias.dechile.net/?delirio</w:t>
        </w:r>
      </w:hyperlink>
      <w:r>
        <w:rPr>
          <w:rFonts w:eastAsia="Times New Roman"/>
          <w:kern w:val="0"/>
          <w:sz w:val="20"/>
          <w:szCs w:val="20"/>
          <w:lang w:val="pt-BR" w:eastAsia="pt-BR"/>
          <w14:ligatures w14:val="none"/>
        </w:rPr>
        <w:t xml:space="preserve">&gt;.  Acesso em: 1o out. 2025. </w:t>
      </w:r>
    </w:p>
    <w:p w14:paraId="483DB6DC" w14:textId="77777777" w:rsidR="0003312E" w:rsidRDefault="00000000">
      <w:pPr>
        <w:pStyle w:val="NormalWeb"/>
        <w:numPr>
          <w:ilvl w:val="0"/>
          <w:numId w:val="10"/>
        </w:numPr>
        <w:spacing w:beforeAutospacing="0" w:after="0" w:afterAutospacing="0" w:line="240" w:lineRule="auto"/>
        <w:ind w:left="0" w:firstLine="0"/>
        <w:jc w:val="both"/>
        <w:rPr>
          <w:rFonts w:eastAsia="Segoe UI"/>
          <w:sz w:val="20"/>
          <w:szCs w:val="20"/>
          <w:shd w:val="clear" w:color="auto" w:fill="FFFFFF"/>
          <w:lang w:val="pt-BR"/>
        </w:rPr>
      </w:pPr>
      <w:r>
        <w:rPr>
          <w:rFonts w:eastAsia="Segoe UI"/>
          <w:sz w:val="20"/>
          <w:szCs w:val="20"/>
          <w:shd w:val="clear" w:color="auto" w:fill="FFFFFF"/>
        </w:rPr>
        <w:t xml:space="preserve">FAN, Ying-Ying; LUO, Ruo-Yu; WANG, Meng-Tian; YUAN, Chao-Yun; SUN, Yuan-Yuan; JING, Ji-Yong. Mechanisms underlying delirium in patients with critical illness. Frontiers in Aging Neuroscience, [S. l.], v. 16, 25 set. 2024. </w:t>
      </w:r>
      <w:r>
        <w:rPr>
          <w:rFonts w:eastAsia="Segoe UI"/>
          <w:sz w:val="20"/>
          <w:szCs w:val="20"/>
          <w:shd w:val="clear" w:color="auto" w:fill="FFFFFF"/>
          <w:lang w:val="pt-BR"/>
        </w:rPr>
        <w:t>Disponível em: </w:t>
      </w:r>
      <w:hyperlink r:id="rId81" w:tgtFrame="_blank" w:history="1">
        <w:r>
          <w:rPr>
            <w:rStyle w:val="Hyperlink"/>
            <w:rFonts w:eastAsia="Segoe UI"/>
            <w:color w:val="auto"/>
            <w:sz w:val="20"/>
            <w:szCs w:val="20"/>
            <w:shd w:val="clear" w:color="auto" w:fill="FFFFFF"/>
            <w:lang w:val="pt-BR"/>
          </w:rPr>
          <w:t>https://www.frontiersin.org/journals/aging-neuroscience/articles/10.3389/fnagi.2024.1446523/full</w:t>
        </w:r>
      </w:hyperlink>
      <w:r>
        <w:rPr>
          <w:rFonts w:eastAsia="Segoe UI"/>
          <w:sz w:val="20"/>
          <w:szCs w:val="20"/>
          <w:shd w:val="clear" w:color="auto" w:fill="FFFFFF"/>
          <w:lang w:val="pt-BR"/>
        </w:rPr>
        <w:t>. Acesso em: 1o out. 2025.</w:t>
      </w:r>
    </w:p>
    <w:p w14:paraId="029D008D" w14:textId="77777777" w:rsidR="0003312E" w:rsidRDefault="00000000">
      <w:pPr>
        <w:pStyle w:val="NormalWeb"/>
        <w:numPr>
          <w:ilvl w:val="0"/>
          <w:numId w:val="10"/>
        </w:numPr>
        <w:spacing w:beforeAutospacing="0" w:after="0" w:afterAutospacing="0" w:line="240" w:lineRule="auto"/>
        <w:ind w:left="0" w:firstLine="0"/>
        <w:jc w:val="both"/>
        <w:rPr>
          <w:rFonts w:eastAsia="Segoe UI"/>
          <w:sz w:val="20"/>
          <w:szCs w:val="20"/>
          <w:shd w:val="clear" w:color="auto" w:fill="FFFFFF"/>
          <w:lang w:val="pt-BR"/>
        </w:rPr>
      </w:pPr>
      <w:r>
        <w:rPr>
          <w:rFonts w:eastAsia="Segoe UI"/>
          <w:sz w:val="20"/>
          <w:szCs w:val="20"/>
          <w:shd w:val="clear" w:color="auto" w:fill="FFFFFF"/>
        </w:rPr>
        <w:t xml:space="preserve">HARPER, Douglas. Online Etymology Dictionary. </w:t>
      </w:r>
      <w:r>
        <w:rPr>
          <w:rFonts w:eastAsia="Segoe UI"/>
          <w:sz w:val="20"/>
          <w:szCs w:val="20"/>
          <w:shd w:val="clear" w:color="auto" w:fill="FFFFFF"/>
          <w:lang w:val="pt-BR"/>
        </w:rPr>
        <w:t xml:space="preserve">2001-2024. Disponível em: </w:t>
      </w:r>
      <w:hyperlink r:id="rId82" w:tgtFrame="_new" w:history="1">
        <w:r>
          <w:rPr>
            <w:rStyle w:val="Hyperlink"/>
            <w:rFonts w:eastAsia="Segoe UI"/>
            <w:color w:val="auto"/>
            <w:sz w:val="20"/>
            <w:szCs w:val="20"/>
            <w:shd w:val="clear" w:color="auto" w:fill="FFFFFF"/>
            <w:lang w:val="pt-BR"/>
          </w:rPr>
          <w:t>www.etymonline.com/word/delirium/</w:t>
        </w:r>
      </w:hyperlink>
      <w:r>
        <w:rPr>
          <w:rFonts w:eastAsia="Segoe UI"/>
          <w:sz w:val="20"/>
          <w:szCs w:val="20"/>
          <w:shd w:val="clear" w:color="auto" w:fill="FFFFFF"/>
          <w:lang w:val="pt-BR"/>
        </w:rPr>
        <w:t xml:space="preserve">.  Acesso em: 1o out. 2025. </w:t>
      </w:r>
    </w:p>
    <w:p w14:paraId="5C2AC08B" w14:textId="77777777" w:rsidR="0003312E" w:rsidRDefault="00000000">
      <w:pPr>
        <w:pStyle w:val="PargrafodaLista"/>
        <w:numPr>
          <w:ilvl w:val="0"/>
          <w:numId w:val="5"/>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Style w:val="Forte"/>
          <w:rFonts w:ascii="Times New Roman" w:eastAsia="Segoe UI" w:hAnsi="Times New Roman" w:cs="Times New Roman"/>
          <w:b w:val="0"/>
          <w:bCs w:val="0"/>
          <w:sz w:val="20"/>
          <w:szCs w:val="20"/>
          <w:shd w:val="clear" w:color="auto" w:fill="FFFFFF"/>
          <w:lang w:val="en-US"/>
        </w:rPr>
        <w:t>LEWIS, Charlton T.; SHORT, Charles.</w:t>
      </w:r>
      <w:r>
        <w:rPr>
          <w:rFonts w:ascii="Times New Roman" w:eastAsia="Segoe UI" w:hAnsi="Times New Roman" w:cs="Times New Roman"/>
          <w:sz w:val="20"/>
          <w:szCs w:val="20"/>
          <w:shd w:val="clear" w:color="auto" w:fill="FFFFFF"/>
          <w:lang w:val="en-US"/>
        </w:rPr>
        <w:t> </w:t>
      </w:r>
      <w:r>
        <w:rPr>
          <w:rStyle w:val="nfase"/>
          <w:rFonts w:ascii="Times New Roman" w:eastAsia="Segoe UI" w:hAnsi="Times New Roman" w:cs="Times New Roman"/>
          <w:sz w:val="20"/>
          <w:szCs w:val="20"/>
          <w:shd w:val="clear" w:color="auto" w:fill="FFFFFF"/>
          <w:lang w:val="en-US"/>
        </w:rPr>
        <w:t>A Latin Dictionary.</w:t>
      </w:r>
      <w:r>
        <w:rPr>
          <w:rFonts w:ascii="Times New Roman" w:eastAsia="Segoe UI" w:hAnsi="Times New Roman" w:cs="Times New Roman"/>
          <w:sz w:val="20"/>
          <w:szCs w:val="20"/>
          <w:shd w:val="clear" w:color="auto" w:fill="FFFFFF"/>
          <w:lang w:val="en-US"/>
        </w:rPr>
        <w:t xml:space="preserve"> Oxford: Clarendon Press, 1879. </w:t>
      </w:r>
      <w:r>
        <w:rPr>
          <w:rFonts w:ascii="Times New Roman" w:eastAsia="Segoe UI" w:hAnsi="Times New Roman" w:cs="Times New Roman"/>
          <w:sz w:val="20"/>
          <w:szCs w:val="20"/>
          <w:shd w:val="clear" w:color="auto" w:fill="FFFFFF"/>
        </w:rPr>
        <w:t xml:space="preserve">Disponível em: https://www.perseus.tufts.edu/hopper/searchresults?target=la&amp;all_words=DELIRIUM&amp;phrase=&amp;any_words=&amp;exclude_words=&amp;documents=. </w:t>
      </w:r>
      <w:r>
        <w:rPr>
          <w:rFonts w:ascii="Times New Roman" w:eastAsia="Segoe UI" w:hAnsi="Times New Roman" w:cs="Times New Roman"/>
          <w:sz w:val="20"/>
          <w:szCs w:val="20"/>
          <w:shd w:val="clear" w:color="auto" w:fill="FFFFFF"/>
          <w:lang w:eastAsia="zh-CN"/>
        </w:rPr>
        <w:t>Acesso em: 1o out. 2025.</w:t>
      </w:r>
    </w:p>
    <w:p w14:paraId="6F296B7D" w14:textId="77777777" w:rsidR="0003312E" w:rsidRDefault="00000000">
      <w:pPr>
        <w:pStyle w:val="NormalWeb"/>
        <w:numPr>
          <w:ilvl w:val="0"/>
          <w:numId w:val="10"/>
        </w:numPr>
        <w:spacing w:beforeAutospacing="0" w:after="0" w:afterAutospacing="0" w:line="240" w:lineRule="auto"/>
        <w:ind w:left="0" w:firstLine="0"/>
        <w:jc w:val="both"/>
        <w:rPr>
          <w:rFonts w:eastAsia="Segoe UI"/>
          <w:sz w:val="20"/>
          <w:szCs w:val="20"/>
          <w:shd w:val="clear" w:color="auto" w:fill="FFFFFF"/>
          <w:lang w:val="pt-BR"/>
        </w:rPr>
      </w:pPr>
      <w:r>
        <w:rPr>
          <w:rFonts w:eastAsia="Segoe UI"/>
          <w:sz w:val="20"/>
          <w:szCs w:val="20"/>
          <w:shd w:val="clear" w:color="auto" w:fill="FFFFFF"/>
        </w:rPr>
        <w:t xml:space="preserve">MALDONADO, José R.  </w:t>
      </w:r>
      <w:proofErr w:type="spellStart"/>
      <w:r>
        <w:rPr>
          <w:rFonts w:eastAsia="Segoe UI"/>
          <w:sz w:val="20"/>
          <w:szCs w:val="20"/>
          <w:shd w:val="clear" w:color="auto" w:fill="FFFFFF"/>
        </w:rPr>
        <w:t>Pathoetiological</w:t>
      </w:r>
      <w:proofErr w:type="spellEnd"/>
      <w:r>
        <w:rPr>
          <w:rFonts w:eastAsia="Segoe UI"/>
          <w:sz w:val="20"/>
          <w:szCs w:val="20"/>
          <w:shd w:val="clear" w:color="auto" w:fill="FFFFFF"/>
        </w:rPr>
        <w:t xml:space="preserve"> model of delirium: a comprehensive understanding of the neurobiology of delirium and an evidence-based approach to prevention and treatment. </w:t>
      </w:r>
      <w:proofErr w:type="spellStart"/>
      <w:r>
        <w:rPr>
          <w:rFonts w:eastAsia="Segoe UI"/>
          <w:i/>
          <w:iCs/>
          <w:sz w:val="20"/>
          <w:szCs w:val="20"/>
          <w:shd w:val="clear" w:color="auto" w:fill="FFFFFF"/>
          <w:lang w:val="pt-BR"/>
        </w:rPr>
        <w:t>Critical</w:t>
      </w:r>
      <w:proofErr w:type="spellEnd"/>
      <w:r>
        <w:rPr>
          <w:rFonts w:eastAsia="Segoe UI"/>
          <w:i/>
          <w:iCs/>
          <w:sz w:val="20"/>
          <w:szCs w:val="20"/>
          <w:shd w:val="clear" w:color="auto" w:fill="FFFFFF"/>
          <w:lang w:val="pt-BR"/>
        </w:rPr>
        <w:t xml:space="preserve"> </w:t>
      </w:r>
      <w:proofErr w:type="spellStart"/>
      <w:r>
        <w:rPr>
          <w:rFonts w:eastAsia="Segoe UI"/>
          <w:i/>
          <w:iCs/>
          <w:sz w:val="20"/>
          <w:szCs w:val="20"/>
          <w:shd w:val="clear" w:color="auto" w:fill="FFFFFF"/>
          <w:lang w:val="pt-BR"/>
        </w:rPr>
        <w:t>care</w:t>
      </w:r>
      <w:proofErr w:type="spellEnd"/>
      <w:r>
        <w:rPr>
          <w:rFonts w:eastAsia="Segoe UI"/>
          <w:i/>
          <w:iCs/>
          <w:sz w:val="20"/>
          <w:szCs w:val="20"/>
          <w:shd w:val="clear" w:color="auto" w:fill="FFFFFF"/>
          <w:lang w:val="pt-BR"/>
        </w:rPr>
        <w:t xml:space="preserve"> </w:t>
      </w:r>
      <w:proofErr w:type="spellStart"/>
      <w:r>
        <w:rPr>
          <w:rFonts w:eastAsia="Segoe UI"/>
          <w:i/>
          <w:iCs/>
          <w:sz w:val="20"/>
          <w:szCs w:val="20"/>
          <w:shd w:val="clear" w:color="auto" w:fill="FFFFFF"/>
          <w:lang w:val="pt-BR"/>
        </w:rPr>
        <w:t>clinics</w:t>
      </w:r>
      <w:proofErr w:type="spellEnd"/>
      <w:r>
        <w:rPr>
          <w:rFonts w:eastAsia="Segoe UI"/>
          <w:sz w:val="20"/>
          <w:szCs w:val="20"/>
          <w:shd w:val="clear" w:color="auto" w:fill="FFFFFF"/>
          <w:lang w:val="pt-BR"/>
        </w:rPr>
        <w:t>, </w:t>
      </w:r>
      <w:r>
        <w:rPr>
          <w:rFonts w:eastAsia="Segoe UI"/>
          <w:i/>
          <w:iCs/>
          <w:sz w:val="20"/>
          <w:szCs w:val="20"/>
          <w:shd w:val="clear" w:color="auto" w:fill="FFFFFF"/>
          <w:lang w:val="pt-BR"/>
        </w:rPr>
        <w:t>24</w:t>
      </w:r>
      <w:r>
        <w:rPr>
          <w:rFonts w:eastAsia="Segoe UI"/>
          <w:sz w:val="20"/>
          <w:szCs w:val="20"/>
          <w:shd w:val="clear" w:color="auto" w:fill="FFFFFF"/>
          <w:lang w:val="pt-BR"/>
        </w:rPr>
        <w:t xml:space="preserve">(4), 789-856, 2008. Disponível em: </w:t>
      </w:r>
      <w:r>
        <w:rPr>
          <w:sz w:val="20"/>
          <w:szCs w:val="20"/>
          <w:lang w:val="pt-BR"/>
        </w:rPr>
        <w:t>10.1016/j.ccc.2008.06.004.</w:t>
      </w:r>
      <w:r>
        <w:rPr>
          <w:rFonts w:eastAsia="Segoe UI"/>
          <w:sz w:val="20"/>
          <w:szCs w:val="20"/>
          <w:shd w:val="clear" w:color="auto" w:fill="FFFFFF"/>
          <w:lang w:val="pt-BR"/>
        </w:rPr>
        <w:t xml:space="preserve">  Acesso em: 1o out. 2025. </w:t>
      </w:r>
    </w:p>
    <w:p w14:paraId="230D86D5" w14:textId="77777777" w:rsidR="0003312E" w:rsidRDefault="00000000">
      <w:pPr>
        <w:pStyle w:val="NormalWeb"/>
        <w:numPr>
          <w:ilvl w:val="0"/>
          <w:numId w:val="10"/>
        </w:numPr>
        <w:spacing w:beforeAutospacing="0" w:after="0" w:afterAutospacing="0" w:line="240" w:lineRule="auto"/>
        <w:ind w:left="0" w:firstLine="0"/>
        <w:jc w:val="both"/>
        <w:rPr>
          <w:rFonts w:eastAsia="Segoe UI"/>
          <w:sz w:val="20"/>
          <w:szCs w:val="20"/>
          <w:shd w:val="clear" w:color="auto" w:fill="FFFFFF"/>
          <w:lang w:val="pt-BR"/>
        </w:rPr>
      </w:pPr>
      <w:r>
        <w:rPr>
          <w:rFonts w:eastAsia="Segoe UI"/>
          <w:sz w:val="20"/>
          <w:szCs w:val="20"/>
          <w:shd w:val="clear" w:color="auto" w:fill="FFFFFF"/>
        </w:rPr>
        <w:t xml:space="preserve">NOLEN, Willem A.; VAN MEEKEREN, Erwin; VOSKUIL, Piet; VAN TILBURG, Willem. New vision on the mental problems of Vincent van Gogh: results from a bottom-up approach using (semi-)structured diagnostic interviews. </w:t>
      </w:r>
      <w:proofErr w:type="spellStart"/>
      <w:r>
        <w:rPr>
          <w:rFonts w:eastAsia="Segoe UI"/>
          <w:sz w:val="20"/>
          <w:szCs w:val="20"/>
          <w:shd w:val="clear" w:color="auto" w:fill="FFFFFF"/>
          <w:lang w:val="pt-BR"/>
        </w:rPr>
        <w:t>International</w:t>
      </w:r>
      <w:proofErr w:type="spellEnd"/>
      <w:r>
        <w:rPr>
          <w:rFonts w:eastAsia="Segoe UI"/>
          <w:sz w:val="20"/>
          <w:szCs w:val="20"/>
          <w:shd w:val="clear" w:color="auto" w:fill="FFFFFF"/>
          <w:lang w:val="pt-BR"/>
        </w:rPr>
        <w:t xml:space="preserve"> </w:t>
      </w:r>
      <w:proofErr w:type="spellStart"/>
      <w:r>
        <w:rPr>
          <w:rFonts w:eastAsia="Segoe UI"/>
          <w:sz w:val="20"/>
          <w:szCs w:val="20"/>
          <w:shd w:val="clear" w:color="auto" w:fill="FFFFFF"/>
          <w:lang w:val="pt-BR"/>
        </w:rPr>
        <w:t>Journal</w:t>
      </w:r>
      <w:proofErr w:type="spellEnd"/>
      <w:r>
        <w:rPr>
          <w:rFonts w:eastAsia="Segoe UI"/>
          <w:sz w:val="20"/>
          <w:szCs w:val="20"/>
          <w:shd w:val="clear" w:color="auto" w:fill="FFFFFF"/>
          <w:lang w:val="pt-BR"/>
        </w:rPr>
        <w:t xml:space="preserve"> </w:t>
      </w:r>
      <w:proofErr w:type="spellStart"/>
      <w:r>
        <w:rPr>
          <w:rFonts w:eastAsia="Segoe UI"/>
          <w:sz w:val="20"/>
          <w:szCs w:val="20"/>
          <w:shd w:val="clear" w:color="auto" w:fill="FFFFFF"/>
          <w:lang w:val="pt-BR"/>
        </w:rPr>
        <w:t>of</w:t>
      </w:r>
      <w:proofErr w:type="spellEnd"/>
      <w:r>
        <w:rPr>
          <w:rFonts w:eastAsia="Segoe UI"/>
          <w:sz w:val="20"/>
          <w:szCs w:val="20"/>
          <w:shd w:val="clear" w:color="auto" w:fill="FFFFFF"/>
          <w:lang w:val="pt-BR"/>
        </w:rPr>
        <w:t xml:space="preserve"> Bipolar </w:t>
      </w:r>
      <w:proofErr w:type="spellStart"/>
      <w:r>
        <w:rPr>
          <w:rFonts w:eastAsia="Segoe UI"/>
          <w:sz w:val="20"/>
          <w:szCs w:val="20"/>
          <w:shd w:val="clear" w:color="auto" w:fill="FFFFFF"/>
          <w:lang w:val="pt-BR"/>
        </w:rPr>
        <w:t>Disorders</w:t>
      </w:r>
      <w:proofErr w:type="spellEnd"/>
      <w:r>
        <w:rPr>
          <w:rFonts w:eastAsia="Segoe UI"/>
          <w:sz w:val="20"/>
          <w:szCs w:val="20"/>
          <w:shd w:val="clear" w:color="auto" w:fill="FFFFFF"/>
          <w:lang w:val="pt-BR"/>
        </w:rPr>
        <w:t xml:space="preserve">, v. 8, n. 30, 2020. Disponível em: </w:t>
      </w:r>
      <w:hyperlink r:id="rId83" w:tgtFrame="_new" w:history="1">
        <w:r>
          <w:rPr>
            <w:rStyle w:val="Hyperlink"/>
            <w:rFonts w:eastAsia="Segoe UI"/>
            <w:color w:val="auto"/>
            <w:sz w:val="20"/>
            <w:szCs w:val="20"/>
            <w:shd w:val="clear" w:color="auto" w:fill="FFFFFF"/>
            <w:lang w:val="pt-BR"/>
          </w:rPr>
          <w:t>https://journalbipolardisorders.springeropen.com/articles/10.1186/s40345-020-00196-z</w:t>
        </w:r>
      </w:hyperlink>
      <w:r>
        <w:rPr>
          <w:rFonts w:eastAsia="Segoe UI"/>
          <w:sz w:val="20"/>
          <w:szCs w:val="20"/>
          <w:shd w:val="clear" w:color="auto" w:fill="FFFFFF"/>
          <w:lang w:val="pt-BR"/>
        </w:rPr>
        <w:t xml:space="preserve">.  Acesso em: 1o out. 2025. </w:t>
      </w:r>
    </w:p>
    <w:p w14:paraId="58FA6CEC" w14:textId="77777777" w:rsidR="0003312E" w:rsidRDefault="00000000">
      <w:pPr>
        <w:pStyle w:val="NormalWeb"/>
        <w:numPr>
          <w:ilvl w:val="0"/>
          <w:numId w:val="10"/>
        </w:numPr>
        <w:spacing w:beforeAutospacing="0" w:after="0" w:afterAutospacing="0" w:line="240" w:lineRule="auto"/>
        <w:ind w:left="0" w:firstLine="0"/>
        <w:jc w:val="both"/>
        <w:rPr>
          <w:rFonts w:eastAsia="Segoe UI"/>
          <w:sz w:val="20"/>
          <w:szCs w:val="20"/>
          <w:shd w:val="clear" w:color="auto" w:fill="FFFFFF"/>
          <w:lang w:val="pt-BR"/>
        </w:rPr>
      </w:pPr>
      <w:r>
        <w:rPr>
          <w:rFonts w:eastAsia="Segoe UI"/>
          <w:sz w:val="20"/>
          <w:szCs w:val="20"/>
          <w:shd w:val="clear" w:color="auto" w:fill="FFFFFF"/>
          <w:lang w:val="pt-BR"/>
        </w:rPr>
        <w:t xml:space="preserve">RAE-REAL ACADEMIA ESPAÑOLA. </w:t>
      </w:r>
      <w:proofErr w:type="spellStart"/>
      <w:r>
        <w:rPr>
          <w:rFonts w:eastAsia="Segoe UI"/>
          <w:sz w:val="20"/>
          <w:szCs w:val="20"/>
          <w:shd w:val="clear" w:color="auto" w:fill="FFFFFF"/>
          <w:lang w:val="pt-BR"/>
        </w:rPr>
        <w:t>Diccionario</w:t>
      </w:r>
      <w:proofErr w:type="spellEnd"/>
      <w:r>
        <w:rPr>
          <w:rFonts w:eastAsia="Segoe UI"/>
          <w:sz w:val="20"/>
          <w:szCs w:val="20"/>
          <w:shd w:val="clear" w:color="auto" w:fill="FFFFFF"/>
          <w:lang w:val="pt-BR"/>
        </w:rPr>
        <w:t xml:space="preserve"> de </w:t>
      </w:r>
      <w:proofErr w:type="spellStart"/>
      <w:r>
        <w:rPr>
          <w:rFonts w:eastAsia="Segoe UI"/>
          <w:sz w:val="20"/>
          <w:szCs w:val="20"/>
          <w:shd w:val="clear" w:color="auto" w:fill="FFFFFF"/>
          <w:lang w:val="pt-BR"/>
        </w:rPr>
        <w:t>la</w:t>
      </w:r>
      <w:proofErr w:type="spellEnd"/>
      <w:r>
        <w:rPr>
          <w:rFonts w:eastAsia="Segoe UI"/>
          <w:sz w:val="20"/>
          <w:szCs w:val="20"/>
          <w:shd w:val="clear" w:color="auto" w:fill="FFFFFF"/>
          <w:lang w:val="pt-BR"/>
        </w:rPr>
        <w:t xml:space="preserve"> </w:t>
      </w:r>
      <w:proofErr w:type="spellStart"/>
      <w:r>
        <w:rPr>
          <w:rFonts w:eastAsia="Segoe UI"/>
          <w:sz w:val="20"/>
          <w:szCs w:val="20"/>
          <w:shd w:val="clear" w:color="auto" w:fill="FFFFFF"/>
          <w:lang w:val="pt-BR"/>
        </w:rPr>
        <w:t>lengua</w:t>
      </w:r>
      <w:proofErr w:type="spellEnd"/>
      <w:r>
        <w:rPr>
          <w:rFonts w:eastAsia="Segoe UI"/>
          <w:sz w:val="20"/>
          <w:szCs w:val="20"/>
          <w:shd w:val="clear" w:color="auto" w:fill="FFFFFF"/>
          <w:lang w:val="pt-BR"/>
        </w:rPr>
        <w:t xml:space="preserve"> </w:t>
      </w:r>
      <w:proofErr w:type="spellStart"/>
      <w:r>
        <w:rPr>
          <w:rFonts w:eastAsia="Segoe UI"/>
          <w:sz w:val="20"/>
          <w:szCs w:val="20"/>
          <w:shd w:val="clear" w:color="auto" w:fill="FFFFFF"/>
          <w:lang w:val="pt-BR"/>
        </w:rPr>
        <w:t>española</w:t>
      </w:r>
      <w:proofErr w:type="spellEnd"/>
      <w:r>
        <w:rPr>
          <w:rFonts w:eastAsia="Segoe UI"/>
          <w:sz w:val="20"/>
          <w:szCs w:val="20"/>
          <w:shd w:val="clear" w:color="auto" w:fill="FFFFFF"/>
          <w:lang w:val="pt-BR"/>
        </w:rPr>
        <w:t xml:space="preserve">. 23. ed. [Madrid]: RAE, 2014. Disponível em: </w:t>
      </w:r>
      <w:r>
        <w:rPr>
          <w:sz w:val="20"/>
          <w:szCs w:val="20"/>
          <w:lang w:val="pt-BR"/>
        </w:rPr>
        <w:t>https://dle.rae.es/delirio?m=form</w:t>
      </w:r>
      <w:r>
        <w:rPr>
          <w:rFonts w:eastAsia="Segoe UI"/>
          <w:sz w:val="20"/>
          <w:szCs w:val="20"/>
          <w:shd w:val="clear" w:color="auto" w:fill="FFFFFF"/>
          <w:lang w:val="pt-BR"/>
        </w:rPr>
        <w:t xml:space="preserve">.  Acesso em: 1o out. 2025. </w:t>
      </w:r>
    </w:p>
    <w:p w14:paraId="1A3187E2" w14:textId="77777777" w:rsidR="0003312E" w:rsidRDefault="00000000">
      <w:pPr>
        <w:pStyle w:val="NormalWeb"/>
        <w:numPr>
          <w:ilvl w:val="0"/>
          <w:numId w:val="10"/>
        </w:numPr>
        <w:spacing w:beforeAutospacing="0" w:after="0" w:afterAutospacing="0" w:line="240" w:lineRule="auto"/>
        <w:ind w:left="0" w:firstLine="0"/>
        <w:jc w:val="both"/>
        <w:rPr>
          <w:rFonts w:eastAsia="Segoe UI"/>
          <w:sz w:val="20"/>
          <w:szCs w:val="20"/>
          <w:shd w:val="clear" w:color="auto" w:fill="FFFFFF"/>
          <w:lang w:val="pt-BR"/>
        </w:rPr>
      </w:pPr>
      <w:r>
        <w:rPr>
          <w:sz w:val="20"/>
          <w:szCs w:val="20"/>
          <w:shd w:val="clear" w:color="auto" w:fill="FFFFFF"/>
          <w:lang w:val="pt-BR"/>
        </w:rPr>
        <w:t>TELLES-CORREIA, Diogo. A Evolução Conceptual do Delírio desde a sua Origem até à Modernidade. </w:t>
      </w:r>
      <w:proofErr w:type="spellStart"/>
      <w:r>
        <w:rPr>
          <w:b/>
          <w:bCs/>
          <w:sz w:val="20"/>
          <w:szCs w:val="20"/>
          <w:shd w:val="clear" w:color="auto" w:fill="FFFFFF"/>
          <w:lang w:val="pt-BR"/>
        </w:rPr>
        <w:t>Psilogos</w:t>
      </w:r>
      <w:proofErr w:type="spellEnd"/>
      <w:r>
        <w:rPr>
          <w:sz w:val="20"/>
          <w:szCs w:val="20"/>
          <w:shd w:val="clear" w:color="auto" w:fill="FFFFFF"/>
          <w:lang w:val="pt-BR"/>
        </w:rPr>
        <w:t xml:space="preserve">, v. 12, n. 2, p. 40-51, 2014. </w:t>
      </w:r>
      <w:r>
        <w:rPr>
          <w:rFonts w:eastAsia="Segoe UI"/>
          <w:sz w:val="20"/>
          <w:szCs w:val="20"/>
          <w:shd w:val="clear" w:color="auto" w:fill="FFFFFF"/>
          <w:lang w:val="pt-BR"/>
        </w:rPr>
        <w:t xml:space="preserve">Disponível em: </w:t>
      </w:r>
      <w:r>
        <w:rPr>
          <w:sz w:val="20"/>
          <w:szCs w:val="20"/>
          <w:lang w:val="pt-BR"/>
        </w:rPr>
        <w:t>https://revistas.rcaap.pt/psilogos/article/view/6991</w:t>
      </w:r>
      <w:r>
        <w:rPr>
          <w:rFonts w:eastAsia="Segoe UI"/>
          <w:sz w:val="20"/>
          <w:szCs w:val="20"/>
          <w:shd w:val="clear" w:color="auto" w:fill="FFFFFF"/>
          <w:lang w:val="pt-BR"/>
        </w:rPr>
        <w:t xml:space="preserve">.  Acesso em: 1o out. 2025. </w:t>
      </w:r>
    </w:p>
    <w:p w14:paraId="79369D06" w14:textId="77777777" w:rsidR="0003312E" w:rsidRDefault="00000000">
      <w:pPr>
        <w:pStyle w:val="NormalWeb"/>
        <w:numPr>
          <w:ilvl w:val="0"/>
          <w:numId w:val="10"/>
        </w:numPr>
        <w:spacing w:beforeAutospacing="0" w:after="0" w:afterAutospacing="0" w:line="240" w:lineRule="auto"/>
        <w:ind w:left="0" w:firstLine="0"/>
        <w:jc w:val="both"/>
        <w:rPr>
          <w:rFonts w:eastAsia="Segoe UI"/>
          <w:sz w:val="20"/>
          <w:szCs w:val="20"/>
          <w:shd w:val="clear" w:color="auto" w:fill="FFFFFF"/>
          <w:lang w:val="pt-BR"/>
        </w:rPr>
      </w:pPr>
      <w:r>
        <w:rPr>
          <w:rFonts w:eastAsia="Segoe UI"/>
          <w:sz w:val="20"/>
          <w:szCs w:val="20"/>
          <w:shd w:val="clear" w:color="auto" w:fill="FFFFFF"/>
        </w:rPr>
        <w:t xml:space="preserve">VAN GOGH, Vincent. The Letters of Vincent van Gogh. </w:t>
      </w:r>
      <w:r>
        <w:rPr>
          <w:rFonts w:eastAsia="Segoe UI"/>
          <w:sz w:val="20"/>
          <w:szCs w:val="20"/>
          <w:shd w:val="clear" w:color="auto" w:fill="FFFFFF"/>
          <w:lang w:val="pt-BR"/>
        </w:rPr>
        <w:t>[</w:t>
      </w:r>
      <w:proofErr w:type="spellStart"/>
      <w:r>
        <w:rPr>
          <w:rFonts w:eastAsia="Segoe UI"/>
          <w:sz w:val="20"/>
          <w:szCs w:val="20"/>
          <w:shd w:val="clear" w:color="auto" w:fill="FFFFFF"/>
          <w:lang w:val="pt-BR"/>
        </w:rPr>
        <w:t>S.l</w:t>
      </w:r>
      <w:proofErr w:type="spellEnd"/>
      <w:r>
        <w:rPr>
          <w:rFonts w:eastAsia="Segoe UI"/>
          <w:sz w:val="20"/>
          <w:szCs w:val="20"/>
          <w:shd w:val="clear" w:color="auto" w:fill="FFFFFF"/>
          <w:lang w:val="pt-BR"/>
        </w:rPr>
        <w:t xml:space="preserve">.], [s.d.]. Disponível em: </w:t>
      </w:r>
      <w:hyperlink r:id="rId84" w:tgtFrame="_new" w:history="1">
        <w:r>
          <w:rPr>
            <w:rStyle w:val="Hyperlink"/>
            <w:rFonts w:eastAsia="Segoe UI"/>
            <w:color w:val="auto"/>
            <w:sz w:val="20"/>
            <w:szCs w:val="20"/>
            <w:shd w:val="clear" w:color="auto" w:fill="FFFFFF"/>
            <w:lang w:val="pt-BR"/>
          </w:rPr>
          <w:t>https://www.webexhibits.org/vangogh/letter/</w:t>
        </w:r>
      </w:hyperlink>
      <w:r>
        <w:rPr>
          <w:rFonts w:eastAsia="Segoe UI"/>
          <w:sz w:val="20"/>
          <w:szCs w:val="20"/>
          <w:shd w:val="clear" w:color="auto" w:fill="FFFFFF"/>
          <w:lang w:val="pt-BR"/>
        </w:rPr>
        <w:t xml:space="preserve">.  Acesso em: 1o out. 2025. </w:t>
      </w:r>
    </w:p>
    <w:p w14:paraId="3F32EAA9" w14:textId="77777777" w:rsidR="0003312E" w:rsidRDefault="00000000">
      <w:pPr>
        <w:spacing w:after="0" w:line="240" w:lineRule="auto"/>
        <w:jc w:val="both"/>
        <w:rPr>
          <w:rFonts w:ascii="Times New Roman" w:eastAsia="Segoe UI" w:hAnsi="Times New Roman" w:cs="Times New Roman"/>
          <w:sz w:val="24"/>
          <w:szCs w:val="24"/>
          <w:shd w:val="clear" w:color="auto" w:fill="FFFFFF"/>
          <w:lang w:eastAsia="zh-CN"/>
        </w:rPr>
      </w:pPr>
      <w:r>
        <w:rPr>
          <w:rFonts w:eastAsia="Segoe UI"/>
          <w:sz w:val="20"/>
          <w:szCs w:val="20"/>
          <w:shd w:val="clear" w:color="auto" w:fill="FFFFFF"/>
        </w:rPr>
        <w:br w:type="page"/>
      </w:r>
    </w:p>
    <w:p w14:paraId="1F613C6C" w14:textId="77777777" w:rsidR="0003312E" w:rsidRDefault="00000000">
      <w:pPr>
        <w:shd w:val="clear" w:color="auto" w:fill="FFFFFF"/>
        <w:spacing w:after="0" w:line="360" w:lineRule="auto"/>
        <w:ind w:firstLine="709"/>
        <w:jc w:val="both"/>
        <w:rPr>
          <w:rFonts w:ascii="Times New Roman" w:eastAsia="Times New Roman" w:hAnsi="Times New Roman" w:cs="Times New Roman"/>
          <w:color w:val="0F1115"/>
          <w:kern w:val="0"/>
          <w:sz w:val="24"/>
          <w:szCs w:val="24"/>
          <w:lang w:val="en-US" w:eastAsia="pt-BR"/>
          <w14:ligatures w14:val="none"/>
        </w:rPr>
      </w:pPr>
      <w:r>
        <w:rPr>
          <w:rFonts w:ascii="Times New Roman" w:eastAsia="Times New Roman" w:hAnsi="Times New Roman" w:cs="Times New Roman"/>
          <w:b/>
          <w:bCs/>
          <w:color w:val="0F1115"/>
          <w:kern w:val="0"/>
          <w:sz w:val="24"/>
          <w:szCs w:val="24"/>
          <w:lang w:val="en-US" w:eastAsia="pt-BR"/>
          <w14:ligatures w14:val="none"/>
        </w:rPr>
        <w:lastRenderedPageBreak/>
        <w:t>Capitulo 7</w:t>
      </w:r>
    </w:p>
    <w:p w14:paraId="7057CBB4" w14:textId="77777777" w:rsidR="0003312E" w:rsidRDefault="00000000">
      <w:pPr>
        <w:pStyle w:val="PargrafodaLista"/>
        <w:numPr>
          <w:ilvl w:val="0"/>
          <w:numId w:val="11"/>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 xml:space="preserve">CHARCOT, Jean-Martin. </w:t>
      </w:r>
      <w:proofErr w:type="spellStart"/>
      <w:r>
        <w:rPr>
          <w:rFonts w:ascii="Times New Roman" w:eastAsia="Segoe UI" w:hAnsi="Times New Roman" w:cs="Times New Roman"/>
          <w:sz w:val="20"/>
          <w:szCs w:val="20"/>
          <w:shd w:val="clear" w:color="auto" w:fill="FFFFFF"/>
          <w:lang w:eastAsia="zh-CN"/>
        </w:rPr>
        <w:t>Leçons</w:t>
      </w:r>
      <w:proofErr w:type="spellEnd"/>
      <w:r>
        <w:rPr>
          <w:rFonts w:ascii="Times New Roman" w:eastAsia="Segoe UI" w:hAnsi="Times New Roman" w:cs="Times New Roman"/>
          <w:sz w:val="20"/>
          <w:szCs w:val="20"/>
          <w:shd w:val="clear" w:color="auto" w:fill="FFFFFF"/>
          <w:lang w:eastAsia="zh-CN"/>
        </w:rPr>
        <w:t xml:space="preserve"> </w:t>
      </w:r>
      <w:proofErr w:type="spellStart"/>
      <w:r>
        <w:rPr>
          <w:rFonts w:ascii="Times New Roman" w:eastAsia="Segoe UI" w:hAnsi="Times New Roman" w:cs="Times New Roman"/>
          <w:sz w:val="20"/>
          <w:szCs w:val="20"/>
          <w:shd w:val="clear" w:color="auto" w:fill="FFFFFF"/>
          <w:lang w:eastAsia="zh-CN"/>
        </w:rPr>
        <w:t>du</w:t>
      </w:r>
      <w:proofErr w:type="spellEnd"/>
      <w:r>
        <w:rPr>
          <w:rFonts w:ascii="Times New Roman" w:eastAsia="Segoe UI" w:hAnsi="Times New Roman" w:cs="Times New Roman"/>
          <w:sz w:val="20"/>
          <w:szCs w:val="20"/>
          <w:shd w:val="clear" w:color="auto" w:fill="FFFFFF"/>
          <w:lang w:eastAsia="zh-CN"/>
        </w:rPr>
        <w:t xml:space="preserve"> </w:t>
      </w:r>
      <w:proofErr w:type="spellStart"/>
      <w:r>
        <w:rPr>
          <w:rFonts w:ascii="Times New Roman" w:eastAsia="Segoe UI" w:hAnsi="Times New Roman" w:cs="Times New Roman"/>
          <w:sz w:val="20"/>
          <w:szCs w:val="20"/>
          <w:shd w:val="clear" w:color="auto" w:fill="FFFFFF"/>
          <w:lang w:eastAsia="zh-CN"/>
        </w:rPr>
        <w:t>mardi</w:t>
      </w:r>
      <w:proofErr w:type="spellEnd"/>
      <w:r>
        <w:rPr>
          <w:rFonts w:ascii="Times New Roman" w:eastAsia="Segoe UI" w:hAnsi="Times New Roman" w:cs="Times New Roman"/>
          <w:sz w:val="20"/>
          <w:szCs w:val="20"/>
          <w:shd w:val="clear" w:color="auto" w:fill="FFFFFF"/>
          <w:lang w:eastAsia="zh-CN"/>
        </w:rPr>
        <w:t xml:space="preserve"> à </w:t>
      </w:r>
      <w:proofErr w:type="spellStart"/>
      <w:r>
        <w:rPr>
          <w:rFonts w:ascii="Times New Roman" w:eastAsia="Segoe UI" w:hAnsi="Times New Roman" w:cs="Times New Roman"/>
          <w:sz w:val="20"/>
          <w:szCs w:val="20"/>
          <w:shd w:val="clear" w:color="auto" w:fill="FFFFFF"/>
          <w:lang w:eastAsia="zh-CN"/>
        </w:rPr>
        <w:t>la</w:t>
      </w:r>
      <w:proofErr w:type="spellEnd"/>
      <w:r>
        <w:rPr>
          <w:rFonts w:ascii="Times New Roman" w:eastAsia="Segoe UI" w:hAnsi="Times New Roman" w:cs="Times New Roman"/>
          <w:sz w:val="20"/>
          <w:szCs w:val="20"/>
          <w:shd w:val="clear" w:color="auto" w:fill="FFFFFF"/>
          <w:lang w:eastAsia="zh-CN"/>
        </w:rPr>
        <w:t xml:space="preserve"> </w:t>
      </w:r>
      <w:proofErr w:type="spellStart"/>
      <w:r>
        <w:rPr>
          <w:rFonts w:ascii="Times New Roman" w:eastAsia="Segoe UI" w:hAnsi="Times New Roman" w:cs="Times New Roman"/>
          <w:sz w:val="20"/>
          <w:szCs w:val="20"/>
          <w:shd w:val="clear" w:color="auto" w:fill="FFFFFF"/>
          <w:lang w:eastAsia="zh-CN"/>
        </w:rPr>
        <w:t>Salpêtrière</w:t>
      </w:r>
      <w:proofErr w:type="spellEnd"/>
      <w:r>
        <w:rPr>
          <w:rFonts w:ascii="Times New Roman" w:eastAsia="Segoe UI" w:hAnsi="Times New Roman" w:cs="Times New Roman"/>
          <w:sz w:val="20"/>
          <w:szCs w:val="20"/>
          <w:shd w:val="clear" w:color="auto" w:fill="FFFFFF"/>
          <w:lang w:eastAsia="zh-CN"/>
        </w:rPr>
        <w:t xml:space="preserve">. Paris: </w:t>
      </w:r>
      <w:proofErr w:type="spellStart"/>
      <w:r>
        <w:rPr>
          <w:rFonts w:ascii="Times New Roman" w:eastAsia="Segoe UI" w:hAnsi="Times New Roman" w:cs="Times New Roman"/>
          <w:sz w:val="20"/>
          <w:szCs w:val="20"/>
          <w:shd w:val="clear" w:color="auto" w:fill="FFFFFF"/>
          <w:lang w:eastAsia="zh-CN"/>
        </w:rPr>
        <w:t>Progrès</w:t>
      </w:r>
      <w:proofErr w:type="spellEnd"/>
      <w:r>
        <w:rPr>
          <w:rFonts w:ascii="Times New Roman" w:eastAsia="Segoe UI" w:hAnsi="Times New Roman" w:cs="Times New Roman"/>
          <w:sz w:val="20"/>
          <w:szCs w:val="20"/>
          <w:shd w:val="clear" w:color="auto" w:fill="FFFFFF"/>
          <w:lang w:eastAsia="zh-CN"/>
        </w:rPr>
        <w:t xml:space="preserve"> </w:t>
      </w:r>
      <w:proofErr w:type="spellStart"/>
      <w:r>
        <w:rPr>
          <w:rFonts w:ascii="Times New Roman" w:eastAsia="Segoe UI" w:hAnsi="Times New Roman" w:cs="Times New Roman"/>
          <w:sz w:val="20"/>
          <w:szCs w:val="20"/>
          <w:shd w:val="clear" w:color="auto" w:fill="FFFFFF"/>
          <w:lang w:eastAsia="zh-CN"/>
        </w:rPr>
        <w:t>Médical</w:t>
      </w:r>
      <w:proofErr w:type="spellEnd"/>
      <w:r>
        <w:rPr>
          <w:rFonts w:ascii="Times New Roman" w:eastAsia="Segoe UI" w:hAnsi="Times New Roman" w:cs="Times New Roman"/>
          <w:sz w:val="20"/>
          <w:szCs w:val="20"/>
          <w:shd w:val="clear" w:color="auto" w:fill="FFFFFF"/>
          <w:lang w:eastAsia="zh-CN"/>
        </w:rPr>
        <w:t xml:space="preserve">, 1887. Disponível em: </w:t>
      </w:r>
      <w:hyperlink r:id="rId85" w:tgtFrame="_new" w:history="1">
        <w:r>
          <w:rPr>
            <w:rStyle w:val="Hyperlink"/>
            <w:rFonts w:ascii="Times New Roman" w:eastAsia="Segoe UI" w:hAnsi="Times New Roman" w:cs="Times New Roman"/>
            <w:color w:val="auto"/>
            <w:sz w:val="20"/>
            <w:szCs w:val="20"/>
            <w:shd w:val="clear" w:color="auto" w:fill="FFFFFF"/>
            <w:lang w:eastAsia="zh-CN"/>
          </w:rPr>
          <w:t>https://archive.org/details/leonsdumardi02char</w:t>
        </w:r>
      </w:hyperlink>
      <w:r>
        <w:rPr>
          <w:rFonts w:ascii="Times New Roman" w:eastAsia="Segoe UI" w:hAnsi="Times New Roman" w:cs="Times New Roman"/>
          <w:sz w:val="20"/>
          <w:szCs w:val="20"/>
          <w:shd w:val="clear" w:color="auto" w:fill="FFFFFF"/>
          <w:lang w:eastAsia="zh-CN"/>
        </w:rPr>
        <w:t xml:space="preserve">.  Acesso em: 1o out. 2025. </w:t>
      </w:r>
    </w:p>
    <w:p w14:paraId="732EBBBD" w14:textId="77777777" w:rsidR="0003312E" w:rsidRDefault="00000000">
      <w:pPr>
        <w:pStyle w:val="PargrafodaLista"/>
        <w:numPr>
          <w:ilvl w:val="0"/>
          <w:numId w:val="11"/>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 xml:space="preserve">CUNHA, Antônio Geraldo da. Dicionário etimológico da língua portuguesa. 4. ed. Rio de Janeiro: Lexikon, 2010. Disponível em: </w:t>
      </w:r>
      <w:hyperlink r:id="rId86" w:tgtFrame="_new" w:history="1">
        <w:r>
          <w:rPr>
            <w:rStyle w:val="Hyperlink"/>
            <w:rFonts w:ascii="Times New Roman" w:eastAsia="Segoe UI" w:hAnsi="Times New Roman" w:cs="Times New Roman"/>
            <w:color w:val="auto"/>
            <w:sz w:val="20"/>
            <w:szCs w:val="20"/>
            <w:shd w:val="clear" w:color="auto" w:fill="FFFFFF"/>
            <w:lang w:eastAsia="zh-CN"/>
          </w:rPr>
          <w:t>https://www.dicionarioetimologico.com.br/</w:t>
        </w:r>
      </w:hyperlink>
      <w:r>
        <w:rPr>
          <w:rFonts w:ascii="Times New Roman" w:eastAsia="Segoe UI" w:hAnsi="Times New Roman" w:cs="Times New Roman"/>
          <w:sz w:val="20"/>
          <w:szCs w:val="20"/>
          <w:shd w:val="clear" w:color="auto" w:fill="FFFFFF"/>
          <w:lang w:eastAsia="zh-CN"/>
        </w:rPr>
        <w:t xml:space="preserve">.  Acesso em: 1o out. 2025. </w:t>
      </w:r>
    </w:p>
    <w:p w14:paraId="62E52B88" w14:textId="77777777" w:rsidR="0003312E" w:rsidRDefault="00000000">
      <w:pPr>
        <w:pStyle w:val="PargrafodaLista"/>
        <w:numPr>
          <w:ilvl w:val="0"/>
          <w:numId w:val="11"/>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Times New Roman" w:hAnsi="Times New Roman" w:cs="Times New Roman"/>
          <w:kern w:val="0"/>
          <w:sz w:val="20"/>
          <w:szCs w:val="20"/>
          <w:lang w:eastAsia="pt-BR"/>
          <w14:ligatures w14:val="none"/>
        </w:rPr>
        <w:t xml:space="preserve">DECEL - </w:t>
      </w:r>
      <w:proofErr w:type="spellStart"/>
      <w:r>
        <w:rPr>
          <w:rFonts w:ascii="Times New Roman" w:eastAsia="Times New Roman" w:hAnsi="Times New Roman" w:cs="Times New Roman"/>
          <w:kern w:val="0"/>
          <w:sz w:val="20"/>
          <w:szCs w:val="20"/>
          <w:lang w:eastAsia="pt-BR"/>
          <w14:ligatures w14:val="none"/>
        </w:rPr>
        <w:t>Diccionario</w:t>
      </w:r>
      <w:proofErr w:type="spellEnd"/>
      <w:r>
        <w:rPr>
          <w:rFonts w:ascii="Times New Roman" w:eastAsia="Times New Roman" w:hAnsi="Times New Roman" w:cs="Times New Roman"/>
          <w:kern w:val="0"/>
          <w:sz w:val="20"/>
          <w:szCs w:val="20"/>
          <w:lang w:eastAsia="pt-BR"/>
          <w14:ligatures w14:val="none"/>
        </w:rPr>
        <w:t xml:space="preserve"> Etimológico Castellano </w:t>
      </w:r>
      <w:proofErr w:type="spellStart"/>
      <w:r>
        <w:rPr>
          <w:rFonts w:ascii="Times New Roman" w:eastAsia="Times New Roman" w:hAnsi="Times New Roman" w:cs="Times New Roman"/>
          <w:kern w:val="0"/>
          <w:sz w:val="20"/>
          <w:szCs w:val="20"/>
          <w:lang w:eastAsia="pt-BR"/>
          <w14:ligatures w14:val="none"/>
        </w:rPr>
        <w:t>En</w:t>
      </w:r>
      <w:proofErr w:type="spellEnd"/>
      <w:r>
        <w:rPr>
          <w:rFonts w:ascii="Times New Roman" w:eastAsia="Times New Roman" w:hAnsi="Times New Roman" w:cs="Times New Roman"/>
          <w:kern w:val="0"/>
          <w:sz w:val="20"/>
          <w:szCs w:val="20"/>
          <w:lang w:eastAsia="pt-BR"/>
          <w14:ligatures w14:val="none"/>
        </w:rPr>
        <w:t xml:space="preserve"> Línea. Disponível em: &lt;</w:t>
      </w:r>
      <w:hyperlink r:id="rId87" w:tgtFrame="_new" w:history="1">
        <w:r>
          <w:rPr>
            <w:rStyle w:val="Hyperlink"/>
            <w:rFonts w:ascii="Times New Roman" w:eastAsia="Segoe UI" w:hAnsi="Times New Roman" w:cs="Times New Roman"/>
            <w:color w:val="auto"/>
            <w:sz w:val="20"/>
            <w:szCs w:val="20"/>
            <w:shd w:val="clear" w:color="auto" w:fill="FFFFFF"/>
            <w:lang w:eastAsia="zh-CN"/>
          </w:rPr>
          <w:t>https://etimologias.dechile.net/?histeria</w:t>
        </w:r>
      </w:hyperlink>
      <w:r>
        <w:rPr>
          <w:rFonts w:ascii="Times New Roman" w:eastAsia="Times New Roman" w:hAnsi="Times New Roman" w:cs="Times New Roman"/>
          <w:kern w:val="0"/>
          <w:sz w:val="20"/>
          <w:szCs w:val="20"/>
          <w:lang w:eastAsia="pt-BR"/>
          <w14:ligatures w14:val="none"/>
        </w:rPr>
        <w:t xml:space="preserve">&gt;.  Acesso em: 1o out. 2025. </w:t>
      </w:r>
    </w:p>
    <w:p w14:paraId="0CC3F393" w14:textId="77777777" w:rsidR="0003312E" w:rsidRDefault="00000000">
      <w:pPr>
        <w:pStyle w:val="PargrafodaLista"/>
        <w:numPr>
          <w:ilvl w:val="0"/>
          <w:numId w:val="11"/>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val="en-US" w:eastAsia="zh-CN"/>
        </w:rPr>
        <w:t xml:space="preserve">DIDI-HUBERMAN, Georges. Invention of hysteria: Charcot and the photographic iconography of the Salpêtrière. </w:t>
      </w:r>
      <w:r>
        <w:rPr>
          <w:rFonts w:ascii="Times New Roman" w:eastAsia="Segoe UI" w:hAnsi="Times New Roman" w:cs="Times New Roman"/>
          <w:sz w:val="20"/>
          <w:szCs w:val="20"/>
          <w:shd w:val="clear" w:color="auto" w:fill="FFFFFF"/>
          <w:lang w:eastAsia="zh-CN"/>
        </w:rPr>
        <w:t xml:space="preserve">The MIT Press, 2003. Disponível em: </w:t>
      </w:r>
      <w:r>
        <w:rPr>
          <w:rFonts w:ascii="Times New Roman" w:hAnsi="Times New Roman" w:cs="Times New Roman"/>
          <w:sz w:val="20"/>
          <w:szCs w:val="20"/>
        </w:rPr>
        <w:t>https://monoskop.org/images/4/43/Didi_Huberman_Georges_Invention_of_Hysteria_2003.pdf</w:t>
      </w:r>
      <w:r>
        <w:rPr>
          <w:rFonts w:ascii="Times New Roman" w:eastAsia="Segoe UI" w:hAnsi="Times New Roman" w:cs="Times New Roman"/>
          <w:sz w:val="20"/>
          <w:szCs w:val="20"/>
          <w:shd w:val="clear" w:color="auto" w:fill="FFFFFF"/>
          <w:lang w:eastAsia="zh-CN"/>
        </w:rPr>
        <w:t xml:space="preserve">.  Acesso em: 1o out. 2025. </w:t>
      </w:r>
    </w:p>
    <w:p w14:paraId="546408D8" w14:textId="77777777" w:rsidR="0003312E" w:rsidRDefault="00000000">
      <w:pPr>
        <w:pStyle w:val="PargrafodaLista"/>
        <w:numPr>
          <w:ilvl w:val="0"/>
          <w:numId w:val="11"/>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val="en-US" w:eastAsia="zh-CN"/>
        </w:rPr>
        <w:t xml:space="preserve">HARPER, Douglas. Online Etymology Dictionary. </w:t>
      </w:r>
      <w:r>
        <w:rPr>
          <w:rFonts w:ascii="Times New Roman" w:eastAsia="Segoe UI" w:hAnsi="Times New Roman" w:cs="Times New Roman"/>
          <w:sz w:val="20"/>
          <w:szCs w:val="20"/>
          <w:shd w:val="clear" w:color="auto" w:fill="FFFFFF"/>
          <w:lang w:eastAsia="zh-CN"/>
        </w:rPr>
        <w:t xml:space="preserve">2001-2024. Disponível em: </w:t>
      </w:r>
      <w:hyperlink r:id="rId88" w:tgtFrame="_new" w:history="1">
        <w:r>
          <w:rPr>
            <w:rFonts w:ascii="Times New Roman" w:hAnsi="Times New Roman" w:cs="Times New Roman"/>
            <w:sz w:val="20"/>
            <w:szCs w:val="20"/>
          </w:rPr>
          <w:t>https://www.etymonline.com/word/hysteria</w:t>
        </w:r>
        <w:r>
          <w:rPr>
            <w:rStyle w:val="Hyperlink"/>
            <w:rFonts w:ascii="Times New Roman" w:eastAsia="Segoe UI" w:hAnsi="Times New Roman" w:cs="Times New Roman"/>
            <w:color w:val="auto"/>
            <w:sz w:val="20"/>
            <w:szCs w:val="20"/>
            <w:shd w:val="clear" w:color="auto" w:fill="FFFFFF"/>
            <w:lang w:eastAsia="zh-CN"/>
          </w:rPr>
          <w:t>/</w:t>
        </w:r>
      </w:hyperlink>
      <w:r>
        <w:rPr>
          <w:rFonts w:ascii="Times New Roman" w:eastAsia="Segoe UI" w:hAnsi="Times New Roman" w:cs="Times New Roman"/>
          <w:sz w:val="20"/>
          <w:szCs w:val="20"/>
          <w:shd w:val="clear" w:color="auto" w:fill="FFFFFF"/>
          <w:lang w:eastAsia="zh-CN"/>
        </w:rPr>
        <w:t xml:space="preserve">.  Acesso em: 1o out. 2025. </w:t>
      </w:r>
    </w:p>
    <w:p w14:paraId="1CB43A63" w14:textId="77777777" w:rsidR="0003312E" w:rsidRDefault="00000000">
      <w:pPr>
        <w:pStyle w:val="PargrafodaLista"/>
        <w:numPr>
          <w:ilvl w:val="0"/>
          <w:numId w:val="11"/>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val="en-US" w:eastAsia="zh-CN"/>
        </w:rPr>
        <w:t xml:space="preserve"> </w:t>
      </w:r>
      <w:r>
        <w:rPr>
          <w:rStyle w:val="Forte"/>
          <w:rFonts w:ascii="Times New Roman" w:eastAsia="Segoe UI" w:hAnsi="Times New Roman" w:cs="Times New Roman"/>
          <w:b w:val="0"/>
          <w:bCs w:val="0"/>
          <w:sz w:val="20"/>
          <w:szCs w:val="20"/>
          <w:shd w:val="clear" w:color="auto" w:fill="FFFFFF"/>
          <w:lang w:val="en-US"/>
        </w:rPr>
        <w:t>LEWIS, Charlton T.; SHORT, Charles.</w:t>
      </w:r>
      <w:r>
        <w:rPr>
          <w:rFonts w:ascii="Times New Roman" w:eastAsia="Segoe UI" w:hAnsi="Times New Roman" w:cs="Times New Roman"/>
          <w:sz w:val="20"/>
          <w:szCs w:val="20"/>
          <w:shd w:val="clear" w:color="auto" w:fill="FFFFFF"/>
          <w:lang w:val="en-US"/>
        </w:rPr>
        <w:t> </w:t>
      </w:r>
      <w:r>
        <w:rPr>
          <w:rStyle w:val="nfase"/>
          <w:rFonts w:ascii="Times New Roman" w:eastAsia="Segoe UI" w:hAnsi="Times New Roman" w:cs="Times New Roman"/>
          <w:sz w:val="20"/>
          <w:szCs w:val="20"/>
          <w:shd w:val="clear" w:color="auto" w:fill="FFFFFF"/>
          <w:lang w:val="en-US"/>
        </w:rPr>
        <w:t>A Latin Dictionary.</w:t>
      </w:r>
      <w:r>
        <w:rPr>
          <w:rFonts w:ascii="Times New Roman" w:eastAsia="Segoe UI" w:hAnsi="Times New Roman" w:cs="Times New Roman"/>
          <w:sz w:val="20"/>
          <w:szCs w:val="20"/>
          <w:shd w:val="clear" w:color="auto" w:fill="FFFFFF"/>
          <w:lang w:val="en-US"/>
        </w:rPr>
        <w:t xml:space="preserve"> Oxford: Clarendon Press, 1879. </w:t>
      </w:r>
      <w:r>
        <w:rPr>
          <w:rFonts w:ascii="Times New Roman" w:eastAsia="Segoe UI" w:hAnsi="Times New Roman" w:cs="Times New Roman"/>
          <w:sz w:val="20"/>
          <w:szCs w:val="20"/>
          <w:shd w:val="clear" w:color="auto" w:fill="FFFFFF"/>
        </w:rPr>
        <w:t>Disponível em: </w:t>
      </w:r>
      <w:r>
        <w:rPr>
          <w:rFonts w:ascii="Times New Roman" w:hAnsi="Times New Roman" w:cs="Times New Roman"/>
          <w:sz w:val="20"/>
          <w:szCs w:val="20"/>
        </w:rPr>
        <w:t>https://www.perseus.tufts.edu/hopper/searchresults?target=en&amp;all_words=hysteria&amp;phrase=&amp;any_words=&amp;exclude_words=&amp;documents=</w:t>
      </w:r>
      <w:r>
        <w:rPr>
          <w:rFonts w:ascii="Times New Roman" w:eastAsia="Segoe UI" w:hAnsi="Times New Roman" w:cs="Times New Roman"/>
          <w:sz w:val="20"/>
          <w:szCs w:val="20"/>
          <w:shd w:val="clear" w:color="auto" w:fill="FFFFFF"/>
        </w:rPr>
        <w:t xml:space="preserve">. </w:t>
      </w:r>
      <w:r>
        <w:rPr>
          <w:rFonts w:ascii="Times New Roman" w:eastAsia="Segoe UI" w:hAnsi="Times New Roman" w:cs="Times New Roman"/>
          <w:sz w:val="20"/>
          <w:szCs w:val="20"/>
          <w:shd w:val="clear" w:color="auto" w:fill="FFFFFF"/>
          <w:lang w:eastAsia="zh-CN"/>
        </w:rPr>
        <w:t>Acesso em: 1o out. 2025.</w:t>
      </w:r>
    </w:p>
    <w:p w14:paraId="49309B5E" w14:textId="77777777" w:rsidR="0003312E" w:rsidRDefault="00000000">
      <w:pPr>
        <w:pStyle w:val="PargrafodaLista"/>
        <w:numPr>
          <w:ilvl w:val="0"/>
          <w:numId w:val="11"/>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val="en-US" w:eastAsia="zh-CN"/>
        </w:rPr>
        <w:t xml:space="preserve">PEARCE J.M. Sydenham on Hysteria. </w:t>
      </w:r>
      <w:proofErr w:type="spellStart"/>
      <w:r>
        <w:rPr>
          <w:rFonts w:ascii="Times New Roman" w:eastAsia="Segoe UI" w:hAnsi="Times New Roman" w:cs="Times New Roman"/>
          <w:sz w:val="20"/>
          <w:szCs w:val="20"/>
          <w:shd w:val="clear" w:color="auto" w:fill="FFFFFF"/>
          <w:lang w:eastAsia="zh-CN"/>
        </w:rPr>
        <w:t>Eur</w:t>
      </w:r>
      <w:proofErr w:type="spellEnd"/>
      <w:r>
        <w:rPr>
          <w:rFonts w:ascii="Times New Roman" w:eastAsia="Segoe UI" w:hAnsi="Times New Roman" w:cs="Times New Roman"/>
          <w:sz w:val="20"/>
          <w:szCs w:val="20"/>
          <w:shd w:val="clear" w:color="auto" w:fill="FFFFFF"/>
          <w:lang w:eastAsia="zh-CN"/>
        </w:rPr>
        <w:t xml:space="preserve"> </w:t>
      </w:r>
      <w:proofErr w:type="spellStart"/>
      <w:r>
        <w:rPr>
          <w:rFonts w:ascii="Times New Roman" w:eastAsia="Segoe UI" w:hAnsi="Times New Roman" w:cs="Times New Roman"/>
          <w:sz w:val="20"/>
          <w:szCs w:val="20"/>
          <w:shd w:val="clear" w:color="auto" w:fill="FFFFFF"/>
          <w:lang w:eastAsia="zh-CN"/>
        </w:rPr>
        <w:t>Neurol</w:t>
      </w:r>
      <w:proofErr w:type="spellEnd"/>
      <w:r>
        <w:rPr>
          <w:rFonts w:ascii="Times New Roman" w:eastAsia="Segoe UI" w:hAnsi="Times New Roman" w:cs="Times New Roman"/>
          <w:sz w:val="20"/>
          <w:szCs w:val="20"/>
          <w:shd w:val="clear" w:color="auto" w:fill="FFFFFF"/>
          <w:lang w:eastAsia="zh-CN"/>
        </w:rPr>
        <w:t xml:space="preserve">. 2016;76(3-4):175-181. Disponível em: </w:t>
      </w:r>
      <w:hyperlink r:id="rId89" w:history="1">
        <w:r>
          <w:rPr>
            <w:rStyle w:val="Hyperlink"/>
            <w:rFonts w:ascii="Times New Roman" w:eastAsia="Segoe UI" w:hAnsi="Times New Roman" w:cs="Times New Roman"/>
            <w:color w:val="auto"/>
            <w:sz w:val="20"/>
            <w:szCs w:val="20"/>
            <w:shd w:val="clear" w:color="auto" w:fill="FFFFFF"/>
            <w:lang w:eastAsia="zh-CN"/>
          </w:rPr>
          <w:t>https://karger.com/ene/article/76/3-4/175/125173/Sydenham-on-Hysteria</w:t>
        </w:r>
      </w:hyperlink>
      <w:r>
        <w:rPr>
          <w:rFonts w:ascii="Times New Roman" w:eastAsia="Segoe UI" w:hAnsi="Times New Roman" w:cs="Times New Roman"/>
          <w:sz w:val="20"/>
          <w:szCs w:val="20"/>
          <w:shd w:val="clear" w:color="auto" w:fill="FFFFFF"/>
          <w:lang w:eastAsia="zh-CN"/>
        </w:rPr>
        <w:t xml:space="preserve">. Acesso em: 1o out. 2025. </w:t>
      </w:r>
      <w:proofErr w:type="spellStart"/>
      <w:r>
        <w:rPr>
          <w:rFonts w:ascii="Times New Roman" w:eastAsia="Segoe UI" w:hAnsi="Times New Roman" w:cs="Times New Roman"/>
          <w:sz w:val="20"/>
          <w:szCs w:val="20"/>
          <w:shd w:val="clear" w:color="auto" w:fill="FFFFFF"/>
          <w:lang w:eastAsia="zh-CN"/>
        </w:rPr>
        <w:t>doi</w:t>
      </w:r>
      <w:proofErr w:type="spellEnd"/>
      <w:r>
        <w:rPr>
          <w:rFonts w:ascii="Times New Roman" w:eastAsia="Segoe UI" w:hAnsi="Times New Roman" w:cs="Times New Roman"/>
          <w:sz w:val="20"/>
          <w:szCs w:val="20"/>
          <w:shd w:val="clear" w:color="auto" w:fill="FFFFFF"/>
          <w:lang w:eastAsia="zh-CN"/>
        </w:rPr>
        <w:t>: 10.1159/000450605.</w:t>
      </w:r>
    </w:p>
    <w:p w14:paraId="68C52FDA" w14:textId="77777777" w:rsidR="0003312E" w:rsidRDefault="00000000">
      <w:pPr>
        <w:pStyle w:val="PargrafodaLista"/>
        <w:numPr>
          <w:ilvl w:val="0"/>
          <w:numId w:val="11"/>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 xml:space="preserve">RAE-REAL ACADEMIA ESPAÑOLA. </w:t>
      </w:r>
      <w:proofErr w:type="spellStart"/>
      <w:r>
        <w:rPr>
          <w:rFonts w:ascii="Times New Roman" w:eastAsia="Segoe UI" w:hAnsi="Times New Roman" w:cs="Times New Roman"/>
          <w:sz w:val="20"/>
          <w:szCs w:val="20"/>
          <w:shd w:val="clear" w:color="auto" w:fill="FFFFFF"/>
          <w:lang w:eastAsia="zh-CN"/>
        </w:rPr>
        <w:t>Diccionario</w:t>
      </w:r>
      <w:proofErr w:type="spellEnd"/>
      <w:r>
        <w:rPr>
          <w:rFonts w:ascii="Times New Roman" w:eastAsia="Segoe UI" w:hAnsi="Times New Roman" w:cs="Times New Roman"/>
          <w:sz w:val="20"/>
          <w:szCs w:val="20"/>
          <w:shd w:val="clear" w:color="auto" w:fill="FFFFFF"/>
          <w:lang w:eastAsia="zh-CN"/>
        </w:rPr>
        <w:t xml:space="preserve"> de </w:t>
      </w:r>
      <w:proofErr w:type="spellStart"/>
      <w:r>
        <w:rPr>
          <w:rFonts w:ascii="Times New Roman" w:eastAsia="Segoe UI" w:hAnsi="Times New Roman" w:cs="Times New Roman"/>
          <w:sz w:val="20"/>
          <w:szCs w:val="20"/>
          <w:shd w:val="clear" w:color="auto" w:fill="FFFFFF"/>
          <w:lang w:eastAsia="zh-CN"/>
        </w:rPr>
        <w:t>la</w:t>
      </w:r>
      <w:proofErr w:type="spellEnd"/>
      <w:r>
        <w:rPr>
          <w:rFonts w:ascii="Times New Roman" w:eastAsia="Segoe UI" w:hAnsi="Times New Roman" w:cs="Times New Roman"/>
          <w:sz w:val="20"/>
          <w:szCs w:val="20"/>
          <w:shd w:val="clear" w:color="auto" w:fill="FFFFFF"/>
          <w:lang w:eastAsia="zh-CN"/>
        </w:rPr>
        <w:t xml:space="preserve"> </w:t>
      </w:r>
      <w:proofErr w:type="spellStart"/>
      <w:r>
        <w:rPr>
          <w:rFonts w:ascii="Times New Roman" w:eastAsia="Segoe UI" w:hAnsi="Times New Roman" w:cs="Times New Roman"/>
          <w:sz w:val="20"/>
          <w:szCs w:val="20"/>
          <w:shd w:val="clear" w:color="auto" w:fill="FFFFFF"/>
          <w:lang w:eastAsia="zh-CN"/>
        </w:rPr>
        <w:t>lengua</w:t>
      </w:r>
      <w:proofErr w:type="spellEnd"/>
      <w:r>
        <w:rPr>
          <w:rFonts w:ascii="Times New Roman" w:eastAsia="Segoe UI" w:hAnsi="Times New Roman" w:cs="Times New Roman"/>
          <w:sz w:val="20"/>
          <w:szCs w:val="20"/>
          <w:shd w:val="clear" w:color="auto" w:fill="FFFFFF"/>
          <w:lang w:eastAsia="zh-CN"/>
        </w:rPr>
        <w:t xml:space="preserve"> </w:t>
      </w:r>
      <w:proofErr w:type="spellStart"/>
      <w:r>
        <w:rPr>
          <w:rFonts w:ascii="Times New Roman" w:eastAsia="Segoe UI" w:hAnsi="Times New Roman" w:cs="Times New Roman"/>
          <w:sz w:val="20"/>
          <w:szCs w:val="20"/>
          <w:shd w:val="clear" w:color="auto" w:fill="FFFFFF"/>
          <w:lang w:eastAsia="zh-CN"/>
        </w:rPr>
        <w:t>española</w:t>
      </w:r>
      <w:proofErr w:type="spellEnd"/>
      <w:r>
        <w:rPr>
          <w:rFonts w:ascii="Times New Roman" w:eastAsia="Segoe UI" w:hAnsi="Times New Roman" w:cs="Times New Roman"/>
          <w:sz w:val="20"/>
          <w:szCs w:val="20"/>
          <w:shd w:val="clear" w:color="auto" w:fill="FFFFFF"/>
          <w:lang w:eastAsia="zh-CN"/>
        </w:rPr>
        <w:t xml:space="preserve">. 23. ed. [Madrid]: RAE, 2014. Disponível em: </w:t>
      </w:r>
      <w:r>
        <w:rPr>
          <w:rFonts w:ascii="Times New Roman" w:hAnsi="Times New Roman" w:cs="Times New Roman"/>
          <w:sz w:val="20"/>
          <w:szCs w:val="20"/>
        </w:rPr>
        <w:t>https://dle.rae.es/histeria?m=form</w:t>
      </w:r>
      <w:r>
        <w:rPr>
          <w:rFonts w:ascii="Times New Roman" w:eastAsia="Segoe UI" w:hAnsi="Times New Roman" w:cs="Times New Roman"/>
          <w:sz w:val="20"/>
          <w:szCs w:val="20"/>
          <w:shd w:val="clear" w:color="auto" w:fill="FFFFFF"/>
          <w:lang w:eastAsia="zh-CN"/>
        </w:rPr>
        <w:t xml:space="preserve">.  Acesso em: 1o out. 2025. </w:t>
      </w:r>
    </w:p>
    <w:p w14:paraId="6FC99BB4" w14:textId="77777777" w:rsidR="0003312E" w:rsidRDefault="00000000">
      <w:pPr>
        <w:pStyle w:val="PargrafodaLista"/>
        <w:numPr>
          <w:ilvl w:val="0"/>
          <w:numId w:val="11"/>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val="en-US" w:eastAsia="zh-CN"/>
        </w:rPr>
        <w:t xml:space="preserve">WARAICH, Manni; SHAH, Shailesh. The life and work of Jean-Martin Charcot (1825–1893):‘The Napoleon of Neuroses’. Journal of the Intensive Care Society, v. 19, n. 1, p. 48-49, 2018. </w:t>
      </w:r>
      <w:proofErr w:type="spellStart"/>
      <w:r>
        <w:rPr>
          <w:rFonts w:ascii="Times New Roman" w:eastAsia="Segoe UI" w:hAnsi="Times New Roman" w:cs="Times New Roman"/>
          <w:sz w:val="20"/>
          <w:szCs w:val="20"/>
          <w:shd w:val="clear" w:color="auto" w:fill="FFFFFF"/>
          <w:lang w:val="en-US" w:eastAsia="zh-CN"/>
        </w:rPr>
        <w:t>Disponível</w:t>
      </w:r>
      <w:proofErr w:type="spellEnd"/>
      <w:r>
        <w:rPr>
          <w:rFonts w:ascii="Times New Roman" w:eastAsia="Segoe UI" w:hAnsi="Times New Roman" w:cs="Times New Roman"/>
          <w:sz w:val="20"/>
          <w:szCs w:val="20"/>
          <w:shd w:val="clear" w:color="auto" w:fill="FFFFFF"/>
          <w:lang w:val="en-US" w:eastAsia="zh-CN"/>
        </w:rPr>
        <w:t xml:space="preserve"> </w:t>
      </w:r>
      <w:proofErr w:type="spellStart"/>
      <w:r>
        <w:rPr>
          <w:rFonts w:ascii="Times New Roman" w:eastAsia="Segoe UI" w:hAnsi="Times New Roman" w:cs="Times New Roman"/>
          <w:sz w:val="20"/>
          <w:szCs w:val="20"/>
          <w:shd w:val="clear" w:color="auto" w:fill="FFFFFF"/>
          <w:lang w:val="en-US" w:eastAsia="zh-CN"/>
        </w:rPr>
        <w:t>em</w:t>
      </w:r>
      <w:proofErr w:type="spellEnd"/>
      <w:r>
        <w:rPr>
          <w:rFonts w:ascii="Times New Roman" w:eastAsia="Segoe UI" w:hAnsi="Times New Roman" w:cs="Times New Roman"/>
          <w:sz w:val="20"/>
          <w:szCs w:val="20"/>
          <w:shd w:val="clear" w:color="auto" w:fill="FFFFFF"/>
          <w:lang w:val="en-US" w:eastAsia="zh-CN"/>
        </w:rPr>
        <w:t xml:space="preserve">: </w:t>
      </w:r>
      <w:hyperlink r:id="rId90" w:tgtFrame="_new" w:history="1">
        <w:r>
          <w:rPr>
            <w:rStyle w:val="Hyperlink"/>
            <w:rFonts w:ascii="Times New Roman" w:eastAsia="Segoe UI" w:hAnsi="Times New Roman" w:cs="Times New Roman"/>
            <w:color w:val="auto"/>
            <w:sz w:val="20"/>
            <w:szCs w:val="20"/>
            <w:shd w:val="clear" w:color="auto" w:fill="FFFFFF"/>
            <w:lang w:val="en-US" w:eastAsia="zh-CN"/>
          </w:rPr>
          <w:t>https://journals.sagepub.com/doi/pdf/10.1177/1751143717709420</w:t>
        </w:r>
      </w:hyperlink>
      <w:r>
        <w:rPr>
          <w:rFonts w:ascii="Times New Roman" w:eastAsia="Segoe UI" w:hAnsi="Times New Roman" w:cs="Times New Roman"/>
          <w:sz w:val="20"/>
          <w:szCs w:val="20"/>
          <w:shd w:val="clear" w:color="auto" w:fill="FFFFFF"/>
          <w:lang w:val="en-US" w:eastAsia="zh-CN"/>
        </w:rPr>
        <w:t xml:space="preserve">.  </w:t>
      </w:r>
      <w:r>
        <w:rPr>
          <w:rFonts w:ascii="Times New Roman" w:eastAsia="Segoe UI" w:hAnsi="Times New Roman" w:cs="Times New Roman"/>
          <w:sz w:val="20"/>
          <w:szCs w:val="20"/>
          <w:shd w:val="clear" w:color="auto" w:fill="FFFFFF"/>
          <w:lang w:eastAsia="zh-CN"/>
        </w:rPr>
        <w:t>Acesso em: 1o out. 2025.</w:t>
      </w:r>
    </w:p>
    <w:p w14:paraId="24673C9B" w14:textId="77777777" w:rsidR="0003312E" w:rsidRDefault="0003312E">
      <w:pPr>
        <w:spacing w:after="0" w:line="360" w:lineRule="auto"/>
        <w:ind w:firstLine="709"/>
        <w:jc w:val="both"/>
        <w:rPr>
          <w:rFonts w:ascii="Times New Roman" w:eastAsia="Segoe UI" w:hAnsi="Times New Roman" w:cs="Times New Roman"/>
          <w:sz w:val="24"/>
          <w:szCs w:val="24"/>
          <w:shd w:val="clear" w:color="auto" w:fill="FFFFFF"/>
          <w:lang w:eastAsia="zh-CN"/>
        </w:rPr>
      </w:pPr>
    </w:p>
    <w:p w14:paraId="278CD5A9" w14:textId="77777777" w:rsidR="0003312E" w:rsidRDefault="00000000">
      <w:pPr>
        <w:spacing w:after="0" w:line="360" w:lineRule="auto"/>
        <w:ind w:firstLine="709"/>
        <w:jc w:val="both"/>
        <w:rPr>
          <w:rFonts w:ascii="Times New Roman" w:eastAsia="Segoe UI" w:hAnsi="Times New Roman" w:cs="Times New Roman"/>
          <w:b/>
          <w:bCs/>
          <w:sz w:val="24"/>
          <w:szCs w:val="24"/>
          <w:shd w:val="clear" w:color="auto" w:fill="FFFFFF"/>
          <w:lang w:eastAsia="zh-CN"/>
        </w:rPr>
      </w:pPr>
      <w:r>
        <w:rPr>
          <w:rFonts w:ascii="Times New Roman" w:eastAsia="Segoe UI" w:hAnsi="Times New Roman" w:cs="Times New Roman"/>
          <w:b/>
          <w:bCs/>
          <w:sz w:val="24"/>
          <w:szCs w:val="24"/>
          <w:shd w:val="clear" w:color="auto" w:fill="FFFFFF"/>
          <w:lang w:eastAsia="zh-CN"/>
        </w:rPr>
        <w:t>Capítulo 8</w:t>
      </w:r>
    </w:p>
    <w:p w14:paraId="60ED7595" w14:textId="77777777" w:rsidR="0003312E" w:rsidRDefault="00000000">
      <w:pPr>
        <w:pStyle w:val="PargrafodaLista"/>
        <w:numPr>
          <w:ilvl w:val="0"/>
          <w:numId w:val="3"/>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val="en-US" w:eastAsia="zh-CN"/>
        </w:rPr>
        <w:t>AMERICAN PSYCHOLOGICAL ASSOCIATION. Neurasthenia. APA Dictionary of Psychology, [</w:t>
      </w:r>
      <w:proofErr w:type="spellStart"/>
      <w:r>
        <w:rPr>
          <w:rFonts w:ascii="Times New Roman" w:eastAsia="Segoe UI" w:hAnsi="Times New Roman" w:cs="Times New Roman"/>
          <w:sz w:val="20"/>
          <w:szCs w:val="20"/>
          <w:shd w:val="clear" w:color="auto" w:fill="FFFFFF"/>
          <w:lang w:val="en-US" w:eastAsia="zh-CN"/>
        </w:rPr>
        <w:t>S.l.</w:t>
      </w:r>
      <w:proofErr w:type="spellEnd"/>
      <w:r>
        <w:rPr>
          <w:rFonts w:ascii="Times New Roman" w:eastAsia="Segoe UI" w:hAnsi="Times New Roman" w:cs="Times New Roman"/>
          <w:sz w:val="20"/>
          <w:szCs w:val="20"/>
          <w:shd w:val="clear" w:color="auto" w:fill="FFFFFF"/>
          <w:lang w:val="en-US" w:eastAsia="zh-CN"/>
        </w:rPr>
        <w:t>], [</w:t>
      </w:r>
      <w:proofErr w:type="spellStart"/>
      <w:r>
        <w:rPr>
          <w:rFonts w:ascii="Times New Roman" w:eastAsia="Segoe UI" w:hAnsi="Times New Roman" w:cs="Times New Roman"/>
          <w:sz w:val="20"/>
          <w:szCs w:val="20"/>
          <w:shd w:val="clear" w:color="auto" w:fill="FFFFFF"/>
          <w:lang w:val="en-US" w:eastAsia="zh-CN"/>
        </w:rPr>
        <w:t>s.d.</w:t>
      </w:r>
      <w:proofErr w:type="spellEnd"/>
      <w:r>
        <w:rPr>
          <w:rFonts w:ascii="Times New Roman" w:eastAsia="Segoe UI" w:hAnsi="Times New Roman" w:cs="Times New Roman"/>
          <w:sz w:val="20"/>
          <w:szCs w:val="20"/>
          <w:shd w:val="clear" w:color="auto" w:fill="FFFFFF"/>
          <w:lang w:val="en-US" w:eastAsia="zh-CN"/>
        </w:rPr>
        <w:t xml:space="preserve">]. </w:t>
      </w:r>
      <w:r>
        <w:rPr>
          <w:rFonts w:ascii="Times New Roman" w:eastAsia="Segoe UI" w:hAnsi="Times New Roman" w:cs="Times New Roman"/>
          <w:sz w:val="20"/>
          <w:szCs w:val="20"/>
          <w:shd w:val="clear" w:color="auto" w:fill="FFFFFF"/>
          <w:lang w:eastAsia="zh-CN"/>
        </w:rPr>
        <w:t xml:space="preserve">Disponível em: </w:t>
      </w:r>
      <w:hyperlink r:id="rId91" w:tgtFrame="_new" w:history="1">
        <w:r>
          <w:rPr>
            <w:rStyle w:val="Hyperlink"/>
            <w:rFonts w:ascii="Times New Roman" w:eastAsia="Segoe UI" w:hAnsi="Times New Roman" w:cs="Times New Roman"/>
            <w:color w:val="auto"/>
            <w:sz w:val="20"/>
            <w:szCs w:val="20"/>
            <w:shd w:val="clear" w:color="auto" w:fill="FFFFFF"/>
            <w:lang w:eastAsia="zh-CN"/>
          </w:rPr>
          <w:t>https://dictionary.apa.org/neurasthenia</w:t>
        </w:r>
      </w:hyperlink>
      <w:r>
        <w:rPr>
          <w:rFonts w:ascii="Times New Roman" w:eastAsia="Segoe UI" w:hAnsi="Times New Roman" w:cs="Times New Roman"/>
          <w:sz w:val="20"/>
          <w:szCs w:val="20"/>
          <w:shd w:val="clear" w:color="auto" w:fill="FFFFFF"/>
          <w:lang w:eastAsia="zh-CN"/>
        </w:rPr>
        <w:t xml:space="preserve">.  Acesso em: 1o out. 2025. </w:t>
      </w:r>
    </w:p>
    <w:p w14:paraId="10C4B005" w14:textId="77777777" w:rsidR="0003312E" w:rsidRDefault="00000000">
      <w:pPr>
        <w:pStyle w:val="PargrafodaLista"/>
        <w:numPr>
          <w:ilvl w:val="0"/>
          <w:numId w:val="3"/>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val="en-US" w:eastAsia="zh-CN"/>
        </w:rPr>
        <w:t xml:space="preserve">BEARD, George M. American Nervousness: Its Causes and Consequences. </w:t>
      </w:r>
      <w:r>
        <w:rPr>
          <w:rFonts w:ascii="Times New Roman" w:eastAsia="Segoe UI" w:hAnsi="Times New Roman" w:cs="Times New Roman"/>
          <w:sz w:val="20"/>
          <w:szCs w:val="20"/>
          <w:shd w:val="clear" w:color="auto" w:fill="FFFFFF"/>
          <w:lang w:eastAsia="zh-CN"/>
        </w:rPr>
        <w:t xml:space="preserve">New York: G.P. </w:t>
      </w:r>
      <w:proofErr w:type="spellStart"/>
      <w:r>
        <w:rPr>
          <w:rFonts w:ascii="Times New Roman" w:eastAsia="Segoe UI" w:hAnsi="Times New Roman" w:cs="Times New Roman"/>
          <w:sz w:val="20"/>
          <w:szCs w:val="20"/>
          <w:shd w:val="clear" w:color="auto" w:fill="FFFFFF"/>
          <w:lang w:eastAsia="zh-CN"/>
        </w:rPr>
        <w:t>Putnam's</w:t>
      </w:r>
      <w:proofErr w:type="spellEnd"/>
      <w:r>
        <w:rPr>
          <w:rFonts w:ascii="Times New Roman" w:eastAsia="Segoe UI" w:hAnsi="Times New Roman" w:cs="Times New Roman"/>
          <w:sz w:val="20"/>
          <w:szCs w:val="20"/>
          <w:shd w:val="clear" w:color="auto" w:fill="FFFFFF"/>
          <w:lang w:eastAsia="zh-CN"/>
        </w:rPr>
        <w:t xml:space="preserve"> Sons, 1881. Disponível em: </w:t>
      </w:r>
      <w:hyperlink r:id="rId92" w:tgtFrame="_new" w:history="1">
        <w:r>
          <w:rPr>
            <w:rStyle w:val="Hyperlink"/>
            <w:rFonts w:ascii="Times New Roman" w:eastAsia="Segoe UI" w:hAnsi="Times New Roman" w:cs="Times New Roman"/>
            <w:color w:val="auto"/>
            <w:sz w:val="20"/>
            <w:szCs w:val="20"/>
            <w:shd w:val="clear" w:color="auto" w:fill="FFFFFF"/>
            <w:lang w:eastAsia="zh-CN"/>
          </w:rPr>
          <w:t>https://archive.org/details/americannervousn00bearuoft</w:t>
        </w:r>
      </w:hyperlink>
      <w:r>
        <w:rPr>
          <w:rFonts w:ascii="Times New Roman" w:eastAsia="Segoe UI" w:hAnsi="Times New Roman" w:cs="Times New Roman"/>
          <w:sz w:val="20"/>
          <w:szCs w:val="20"/>
          <w:shd w:val="clear" w:color="auto" w:fill="FFFFFF"/>
          <w:lang w:eastAsia="zh-CN"/>
        </w:rPr>
        <w:t xml:space="preserve">.  Acesso em: 1o out. 2025. </w:t>
      </w:r>
    </w:p>
    <w:p w14:paraId="64A16FF4" w14:textId="77777777" w:rsidR="0003312E" w:rsidRDefault="00000000">
      <w:pPr>
        <w:pStyle w:val="PargrafodaLista"/>
        <w:numPr>
          <w:ilvl w:val="0"/>
          <w:numId w:val="3"/>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 xml:space="preserve">CNRTL-CENTRE NATIONAL DE RESSOURCES TEXTUELLES ET LEXICALES. </w:t>
      </w:r>
      <w:proofErr w:type="spellStart"/>
      <w:r>
        <w:rPr>
          <w:rFonts w:ascii="Times New Roman" w:eastAsia="Segoe UI" w:hAnsi="Times New Roman" w:cs="Times New Roman"/>
          <w:sz w:val="20"/>
          <w:szCs w:val="20"/>
          <w:shd w:val="clear" w:color="auto" w:fill="FFFFFF"/>
          <w:lang w:eastAsia="zh-CN"/>
        </w:rPr>
        <w:t>Trésor</w:t>
      </w:r>
      <w:proofErr w:type="spellEnd"/>
      <w:r>
        <w:rPr>
          <w:rFonts w:ascii="Times New Roman" w:eastAsia="Segoe UI" w:hAnsi="Times New Roman" w:cs="Times New Roman"/>
          <w:sz w:val="20"/>
          <w:szCs w:val="20"/>
          <w:shd w:val="clear" w:color="auto" w:fill="FFFFFF"/>
          <w:lang w:eastAsia="zh-CN"/>
        </w:rPr>
        <w:t xml:space="preserve"> de </w:t>
      </w:r>
      <w:proofErr w:type="spellStart"/>
      <w:r>
        <w:rPr>
          <w:rFonts w:ascii="Times New Roman" w:eastAsia="Segoe UI" w:hAnsi="Times New Roman" w:cs="Times New Roman"/>
          <w:sz w:val="20"/>
          <w:szCs w:val="20"/>
          <w:shd w:val="clear" w:color="auto" w:fill="FFFFFF"/>
          <w:lang w:eastAsia="zh-CN"/>
        </w:rPr>
        <w:t>la</w:t>
      </w:r>
      <w:proofErr w:type="spellEnd"/>
      <w:r>
        <w:rPr>
          <w:rFonts w:ascii="Times New Roman" w:eastAsia="Segoe UI" w:hAnsi="Times New Roman" w:cs="Times New Roman"/>
          <w:sz w:val="20"/>
          <w:szCs w:val="20"/>
          <w:shd w:val="clear" w:color="auto" w:fill="FFFFFF"/>
          <w:lang w:eastAsia="zh-CN"/>
        </w:rPr>
        <w:t xml:space="preserve"> Langue Française </w:t>
      </w:r>
      <w:proofErr w:type="spellStart"/>
      <w:r>
        <w:rPr>
          <w:rFonts w:ascii="Times New Roman" w:eastAsia="Segoe UI" w:hAnsi="Times New Roman" w:cs="Times New Roman"/>
          <w:sz w:val="20"/>
          <w:szCs w:val="20"/>
          <w:shd w:val="clear" w:color="auto" w:fill="FFFFFF"/>
          <w:lang w:eastAsia="zh-CN"/>
        </w:rPr>
        <w:t>informatisé</w:t>
      </w:r>
      <w:proofErr w:type="spellEnd"/>
      <w:r>
        <w:rPr>
          <w:rFonts w:ascii="Times New Roman" w:eastAsia="Segoe UI" w:hAnsi="Times New Roman" w:cs="Times New Roman"/>
          <w:sz w:val="20"/>
          <w:szCs w:val="20"/>
          <w:shd w:val="clear" w:color="auto" w:fill="FFFFFF"/>
          <w:lang w:eastAsia="zh-CN"/>
        </w:rPr>
        <w:t xml:space="preserve">. Nancy: CNRS, 2012. Disponível em: </w:t>
      </w:r>
      <w:proofErr w:type="gramStart"/>
      <w:r>
        <w:rPr>
          <w:rFonts w:ascii="Times New Roman" w:hAnsi="Times New Roman" w:cs="Times New Roman"/>
          <w:sz w:val="20"/>
          <w:szCs w:val="20"/>
        </w:rPr>
        <w:t>https://www.cnrtl.fr/etymologie/neurasthenie</w:t>
      </w:r>
      <w:r>
        <w:rPr>
          <w:rFonts w:ascii="Times New Roman" w:eastAsia="Segoe UI" w:hAnsi="Times New Roman" w:cs="Times New Roman"/>
          <w:sz w:val="20"/>
          <w:szCs w:val="20"/>
          <w:shd w:val="clear" w:color="auto" w:fill="FFFFFF"/>
          <w:lang w:eastAsia="zh-CN"/>
        </w:rPr>
        <w:t xml:space="preserve">  Acesso</w:t>
      </w:r>
      <w:proofErr w:type="gramEnd"/>
      <w:r>
        <w:rPr>
          <w:rFonts w:ascii="Times New Roman" w:eastAsia="Segoe UI" w:hAnsi="Times New Roman" w:cs="Times New Roman"/>
          <w:sz w:val="20"/>
          <w:szCs w:val="20"/>
          <w:shd w:val="clear" w:color="auto" w:fill="FFFFFF"/>
          <w:lang w:eastAsia="zh-CN"/>
        </w:rPr>
        <w:t xml:space="preserve"> em: 1o out. 2025. </w:t>
      </w:r>
    </w:p>
    <w:p w14:paraId="2050D010" w14:textId="77777777" w:rsidR="0003312E" w:rsidRDefault="00000000">
      <w:pPr>
        <w:pStyle w:val="PargrafodaLista"/>
        <w:numPr>
          <w:ilvl w:val="0"/>
          <w:numId w:val="3"/>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Times New Roman" w:hAnsi="Times New Roman" w:cs="Times New Roman"/>
          <w:kern w:val="0"/>
          <w:sz w:val="20"/>
          <w:szCs w:val="20"/>
          <w:lang w:eastAsia="pt-BR"/>
          <w14:ligatures w14:val="none"/>
        </w:rPr>
        <w:t xml:space="preserve">DECEL - </w:t>
      </w:r>
      <w:proofErr w:type="spellStart"/>
      <w:r>
        <w:rPr>
          <w:rFonts w:ascii="Times New Roman" w:eastAsia="Times New Roman" w:hAnsi="Times New Roman" w:cs="Times New Roman"/>
          <w:kern w:val="0"/>
          <w:sz w:val="20"/>
          <w:szCs w:val="20"/>
          <w:lang w:eastAsia="pt-BR"/>
          <w14:ligatures w14:val="none"/>
        </w:rPr>
        <w:t>Diccionario</w:t>
      </w:r>
      <w:proofErr w:type="spellEnd"/>
      <w:r>
        <w:rPr>
          <w:rFonts w:ascii="Times New Roman" w:eastAsia="Times New Roman" w:hAnsi="Times New Roman" w:cs="Times New Roman"/>
          <w:kern w:val="0"/>
          <w:sz w:val="20"/>
          <w:szCs w:val="20"/>
          <w:lang w:eastAsia="pt-BR"/>
          <w14:ligatures w14:val="none"/>
        </w:rPr>
        <w:t xml:space="preserve"> Etimológico Castellano </w:t>
      </w:r>
      <w:proofErr w:type="spellStart"/>
      <w:r>
        <w:rPr>
          <w:rFonts w:ascii="Times New Roman" w:eastAsia="Times New Roman" w:hAnsi="Times New Roman" w:cs="Times New Roman"/>
          <w:kern w:val="0"/>
          <w:sz w:val="20"/>
          <w:szCs w:val="20"/>
          <w:lang w:eastAsia="pt-BR"/>
          <w14:ligatures w14:val="none"/>
        </w:rPr>
        <w:t>En</w:t>
      </w:r>
      <w:proofErr w:type="spellEnd"/>
      <w:r>
        <w:rPr>
          <w:rFonts w:ascii="Times New Roman" w:eastAsia="Times New Roman" w:hAnsi="Times New Roman" w:cs="Times New Roman"/>
          <w:kern w:val="0"/>
          <w:sz w:val="20"/>
          <w:szCs w:val="20"/>
          <w:lang w:eastAsia="pt-BR"/>
          <w14:ligatures w14:val="none"/>
        </w:rPr>
        <w:t xml:space="preserve"> Línea. Disponível em: &lt;</w:t>
      </w:r>
      <w:hyperlink r:id="rId93" w:tgtFrame="_new" w:history="1">
        <w:r>
          <w:rPr>
            <w:rStyle w:val="Hyperlink"/>
            <w:rFonts w:ascii="Times New Roman" w:eastAsia="Segoe UI" w:hAnsi="Times New Roman" w:cs="Times New Roman"/>
            <w:color w:val="auto"/>
            <w:sz w:val="20"/>
            <w:szCs w:val="20"/>
            <w:shd w:val="clear" w:color="auto" w:fill="FFFFFF"/>
            <w:lang w:eastAsia="zh-CN"/>
          </w:rPr>
          <w:t>https://etimologias.dechile.net/?neurastenia</w:t>
        </w:r>
      </w:hyperlink>
      <w:r>
        <w:rPr>
          <w:rFonts w:ascii="Times New Roman" w:eastAsia="Segoe UI" w:hAnsi="Times New Roman" w:cs="Times New Roman"/>
          <w:sz w:val="20"/>
          <w:szCs w:val="20"/>
          <w:shd w:val="clear" w:color="auto" w:fill="FFFFFF"/>
          <w:lang w:eastAsia="zh-CN"/>
        </w:rPr>
        <w:t>.</w:t>
      </w:r>
      <w:r>
        <w:rPr>
          <w:rFonts w:ascii="Times New Roman" w:eastAsia="Times New Roman" w:hAnsi="Times New Roman" w:cs="Times New Roman"/>
          <w:kern w:val="0"/>
          <w:sz w:val="20"/>
          <w:szCs w:val="20"/>
          <w:lang w:eastAsia="pt-BR"/>
          <w14:ligatures w14:val="none"/>
        </w:rPr>
        <w:t xml:space="preserve">&gt;.  Acesso em: 1o out. 2025. </w:t>
      </w:r>
    </w:p>
    <w:p w14:paraId="574AC948" w14:textId="77777777" w:rsidR="0003312E" w:rsidRDefault="00000000">
      <w:pPr>
        <w:pStyle w:val="PargrafodaLista"/>
        <w:numPr>
          <w:ilvl w:val="0"/>
          <w:numId w:val="3"/>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val="en-US" w:eastAsia="zh-CN"/>
        </w:rPr>
        <w:t xml:space="preserve">HARPER, Douglas. Online Etymology Dictionary. </w:t>
      </w:r>
      <w:r>
        <w:rPr>
          <w:rFonts w:ascii="Times New Roman" w:eastAsia="Segoe UI" w:hAnsi="Times New Roman" w:cs="Times New Roman"/>
          <w:sz w:val="20"/>
          <w:szCs w:val="20"/>
          <w:shd w:val="clear" w:color="auto" w:fill="FFFFFF"/>
          <w:lang w:eastAsia="zh-CN"/>
        </w:rPr>
        <w:t xml:space="preserve">2001-2024. Disponível em: </w:t>
      </w:r>
      <w:hyperlink r:id="rId94" w:tgtFrame="_new" w:history="1">
        <w:hyperlink r:id="rId95" w:tgtFrame="_new" w:history="1">
          <w:r>
            <w:rPr>
              <w:rStyle w:val="Hyperlink"/>
              <w:rFonts w:ascii="Times New Roman" w:eastAsia="Segoe UI" w:hAnsi="Times New Roman" w:cs="Times New Roman"/>
              <w:color w:val="auto"/>
              <w:sz w:val="20"/>
              <w:szCs w:val="20"/>
              <w:shd w:val="clear" w:color="auto" w:fill="FFFFFF"/>
              <w:lang w:eastAsia="zh-CN"/>
            </w:rPr>
            <w:t>https://www.etymonline.com/search?q=neurasthenia</w:t>
          </w:r>
        </w:hyperlink>
        <w:r>
          <w:rPr>
            <w:rStyle w:val="Hyperlink"/>
            <w:rFonts w:ascii="Times New Roman" w:eastAsia="Segoe UI" w:hAnsi="Times New Roman" w:cs="Times New Roman"/>
            <w:color w:val="auto"/>
            <w:sz w:val="20"/>
            <w:szCs w:val="20"/>
            <w:shd w:val="clear" w:color="auto" w:fill="FFFFFF"/>
            <w:lang w:eastAsia="zh-CN"/>
          </w:rPr>
          <w:t>/</w:t>
        </w:r>
      </w:hyperlink>
      <w:r>
        <w:rPr>
          <w:rFonts w:ascii="Times New Roman" w:eastAsia="Segoe UI" w:hAnsi="Times New Roman" w:cs="Times New Roman"/>
          <w:sz w:val="20"/>
          <w:szCs w:val="20"/>
          <w:shd w:val="clear" w:color="auto" w:fill="FFFFFF"/>
          <w:lang w:eastAsia="zh-CN"/>
        </w:rPr>
        <w:t xml:space="preserve">.  Acesso em: 1o out. 2025. </w:t>
      </w:r>
    </w:p>
    <w:p w14:paraId="6B18B655" w14:textId="77777777" w:rsidR="0003312E" w:rsidRDefault="00000000">
      <w:pPr>
        <w:pStyle w:val="PargrafodaLista"/>
        <w:numPr>
          <w:ilvl w:val="0"/>
          <w:numId w:val="3"/>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 xml:space="preserve">RAE-REAL ACADEMIA ESPAÑOLA. </w:t>
      </w:r>
      <w:proofErr w:type="spellStart"/>
      <w:r>
        <w:rPr>
          <w:rFonts w:ascii="Times New Roman" w:eastAsia="Segoe UI" w:hAnsi="Times New Roman" w:cs="Times New Roman"/>
          <w:sz w:val="20"/>
          <w:szCs w:val="20"/>
          <w:shd w:val="clear" w:color="auto" w:fill="FFFFFF"/>
          <w:lang w:eastAsia="zh-CN"/>
        </w:rPr>
        <w:t>Diccionario</w:t>
      </w:r>
      <w:proofErr w:type="spellEnd"/>
      <w:r>
        <w:rPr>
          <w:rFonts w:ascii="Times New Roman" w:eastAsia="Segoe UI" w:hAnsi="Times New Roman" w:cs="Times New Roman"/>
          <w:sz w:val="20"/>
          <w:szCs w:val="20"/>
          <w:shd w:val="clear" w:color="auto" w:fill="FFFFFF"/>
          <w:lang w:eastAsia="zh-CN"/>
        </w:rPr>
        <w:t xml:space="preserve"> de </w:t>
      </w:r>
      <w:proofErr w:type="spellStart"/>
      <w:r>
        <w:rPr>
          <w:rFonts w:ascii="Times New Roman" w:eastAsia="Segoe UI" w:hAnsi="Times New Roman" w:cs="Times New Roman"/>
          <w:sz w:val="20"/>
          <w:szCs w:val="20"/>
          <w:shd w:val="clear" w:color="auto" w:fill="FFFFFF"/>
          <w:lang w:eastAsia="zh-CN"/>
        </w:rPr>
        <w:t>la</w:t>
      </w:r>
      <w:proofErr w:type="spellEnd"/>
      <w:r>
        <w:rPr>
          <w:rFonts w:ascii="Times New Roman" w:eastAsia="Segoe UI" w:hAnsi="Times New Roman" w:cs="Times New Roman"/>
          <w:sz w:val="20"/>
          <w:szCs w:val="20"/>
          <w:shd w:val="clear" w:color="auto" w:fill="FFFFFF"/>
          <w:lang w:eastAsia="zh-CN"/>
        </w:rPr>
        <w:t xml:space="preserve"> </w:t>
      </w:r>
      <w:proofErr w:type="spellStart"/>
      <w:r>
        <w:rPr>
          <w:rFonts w:ascii="Times New Roman" w:eastAsia="Segoe UI" w:hAnsi="Times New Roman" w:cs="Times New Roman"/>
          <w:sz w:val="20"/>
          <w:szCs w:val="20"/>
          <w:shd w:val="clear" w:color="auto" w:fill="FFFFFF"/>
          <w:lang w:eastAsia="zh-CN"/>
        </w:rPr>
        <w:t>lengua</w:t>
      </w:r>
      <w:proofErr w:type="spellEnd"/>
      <w:r>
        <w:rPr>
          <w:rFonts w:ascii="Times New Roman" w:eastAsia="Segoe UI" w:hAnsi="Times New Roman" w:cs="Times New Roman"/>
          <w:sz w:val="20"/>
          <w:szCs w:val="20"/>
          <w:shd w:val="clear" w:color="auto" w:fill="FFFFFF"/>
          <w:lang w:eastAsia="zh-CN"/>
        </w:rPr>
        <w:t xml:space="preserve"> </w:t>
      </w:r>
      <w:proofErr w:type="spellStart"/>
      <w:r>
        <w:rPr>
          <w:rFonts w:ascii="Times New Roman" w:eastAsia="Segoe UI" w:hAnsi="Times New Roman" w:cs="Times New Roman"/>
          <w:sz w:val="20"/>
          <w:szCs w:val="20"/>
          <w:shd w:val="clear" w:color="auto" w:fill="FFFFFF"/>
          <w:lang w:eastAsia="zh-CN"/>
        </w:rPr>
        <w:t>española</w:t>
      </w:r>
      <w:proofErr w:type="spellEnd"/>
      <w:r>
        <w:rPr>
          <w:rFonts w:ascii="Times New Roman" w:eastAsia="Segoe UI" w:hAnsi="Times New Roman" w:cs="Times New Roman"/>
          <w:sz w:val="20"/>
          <w:szCs w:val="20"/>
          <w:shd w:val="clear" w:color="auto" w:fill="FFFFFF"/>
          <w:lang w:eastAsia="zh-CN"/>
        </w:rPr>
        <w:t xml:space="preserve">. 23. ed. [Madrid]: RAE, 2014. Disponível em: </w:t>
      </w:r>
      <w:proofErr w:type="gramStart"/>
      <w:r>
        <w:rPr>
          <w:rFonts w:ascii="Times New Roman" w:hAnsi="Times New Roman" w:cs="Times New Roman"/>
          <w:sz w:val="20"/>
          <w:szCs w:val="20"/>
        </w:rPr>
        <w:t>https://dle.rae.es/neurastenia?m=form</w:t>
      </w:r>
      <w:r>
        <w:rPr>
          <w:rFonts w:ascii="Times New Roman" w:eastAsia="Segoe UI" w:hAnsi="Times New Roman" w:cs="Times New Roman"/>
          <w:sz w:val="20"/>
          <w:szCs w:val="20"/>
          <w:shd w:val="clear" w:color="auto" w:fill="FFFFFF"/>
          <w:lang w:eastAsia="zh-CN"/>
        </w:rPr>
        <w:t xml:space="preserve">  Acesso</w:t>
      </w:r>
      <w:proofErr w:type="gramEnd"/>
      <w:r>
        <w:rPr>
          <w:rFonts w:ascii="Times New Roman" w:eastAsia="Segoe UI" w:hAnsi="Times New Roman" w:cs="Times New Roman"/>
          <w:sz w:val="20"/>
          <w:szCs w:val="20"/>
          <w:shd w:val="clear" w:color="auto" w:fill="FFFFFF"/>
          <w:lang w:eastAsia="zh-CN"/>
        </w:rPr>
        <w:t xml:space="preserve"> em: 1o out. 2025. </w:t>
      </w:r>
    </w:p>
    <w:p w14:paraId="2E17B94A" w14:textId="77777777" w:rsidR="0003312E" w:rsidRDefault="00000000">
      <w:pPr>
        <w:pStyle w:val="PargrafodaLista"/>
        <w:numPr>
          <w:ilvl w:val="0"/>
          <w:numId w:val="3"/>
        </w:numPr>
        <w:spacing w:after="0" w:line="240" w:lineRule="auto"/>
        <w:ind w:left="0" w:firstLine="0"/>
        <w:jc w:val="both"/>
        <w:rPr>
          <w:rFonts w:ascii="Times New Roman" w:eastAsia="Segoe UI" w:hAnsi="Times New Roman" w:cs="Times New Roman"/>
          <w:sz w:val="20"/>
          <w:szCs w:val="20"/>
          <w:shd w:val="clear" w:color="auto" w:fill="FFFFFF"/>
          <w:lang w:val="en-US" w:eastAsia="zh-CN"/>
        </w:rPr>
      </w:pPr>
      <w:r>
        <w:rPr>
          <w:rFonts w:ascii="Times New Roman" w:eastAsia="Segoe UI" w:hAnsi="Times New Roman" w:cs="Times New Roman"/>
          <w:sz w:val="20"/>
          <w:szCs w:val="20"/>
          <w:shd w:val="clear" w:color="auto" w:fill="FFFFFF"/>
          <w:lang w:val="en-US" w:eastAsia="zh-CN"/>
        </w:rPr>
        <w:t xml:space="preserve">SCHUSTER, Daniel G. Personalizing illness and modernity: S. Weir Mitchell, literary women, and neurasthenia, 1870 - 1914. Bulletin of the History of Medicine, v. 79, n. 4, p. 695 - 722, 2005. </w:t>
      </w:r>
      <w:proofErr w:type="spellStart"/>
      <w:r>
        <w:rPr>
          <w:rFonts w:ascii="Times New Roman" w:eastAsia="Segoe UI" w:hAnsi="Times New Roman" w:cs="Times New Roman"/>
          <w:sz w:val="20"/>
          <w:szCs w:val="20"/>
          <w:shd w:val="clear" w:color="auto" w:fill="FFFFFF"/>
          <w:lang w:val="en-US" w:eastAsia="zh-CN"/>
        </w:rPr>
        <w:t>Disponível</w:t>
      </w:r>
      <w:proofErr w:type="spellEnd"/>
      <w:r>
        <w:rPr>
          <w:rFonts w:ascii="Times New Roman" w:eastAsia="Segoe UI" w:hAnsi="Times New Roman" w:cs="Times New Roman"/>
          <w:sz w:val="20"/>
          <w:szCs w:val="20"/>
          <w:shd w:val="clear" w:color="auto" w:fill="FFFFFF"/>
          <w:lang w:val="en-US" w:eastAsia="zh-CN"/>
        </w:rPr>
        <w:t xml:space="preserve"> </w:t>
      </w:r>
      <w:proofErr w:type="spellStart"/>
      <w:r>
        <w:rPr>
          <w:rFonts w:ascii="Times New Roman" w:eastAsia="Segoe UI" w:hAnsi="Times New Roman" w:cs="Times New Roman"/>
          <w:sz w:val="20"/>
          <w:szCs w:val="20"/>
          <w:shd w:val="clear" w:color="auto" w:fill="FFFFFF"/>
          <w:lang w:val="en-US" w:eastAsia="zh-CN"/>
        </w:rPr>
        <w:t>em</w:t>
      </w:r>
      <w:proofErr w:type="spellEnd"/>
      <w:r>
        <w:rPr>
          <w:rFonts w:ascii="Times New Roman" w:eastAsia="Segoe UI" w:hAnsi="Times New Roman" w:cs="Times New Roman"/>
          <w:sz w:val="20"/>
          <w:szCs w:val="20"/>
          <w:shd w:val="clear" w:color="auto" w:fill="FFFFFF"/>
          <w:lang w:val="en-US" w:eastAsia="zh-CN"/>
        </w:rPr>
        <w:t xml:space="preserve">: </w:t>
      </w:r>
      <w:hyperlink r:id="rId96" w:tgtFrame="_new" w:history="1">
        <w:r>
          <w:rPr>
            <w:rStyle w:val="Hyperlink"/>
            <w:rFonts w:ascii="Times New Roman" w:eastAsia="Segoe UI" w:hAnsi="Times New Roman" w:cs="Times New Roman"/>
            <w:color w:val="auto"/>
            <w:sz w:val="20"/>
            <w:szCs w:val="20"/>
            <w:shd w:val="clear" w:color="auto" w:fill="FFFFFF"/>
            <w:lang w:val="en-US" w:eastAsia="zh-CN"/>
          </w:rPr>
          <w:t>https://www.jstor.org/stable/pdf/44449492.pdf</w:t>
        </w:r>
      </w:hyperlink>
      <w:r>
        <w:rPr>
          <w:rFonts w:ascii="Times New Roman" w:eastAsia="Segoe UI" w:hAnsi="Times New Roman" w:cs="Times New Roman"/>
          <w:sz w:val="20"/>
          <w:szCs w:val="20"/>
          <w:shd w:val="clear" w:color="auto" w:fill="FFFFFF"/>
          <w:lang w:val="en-US" w:eastAsia="zh-CN"/>
        </w:rPr>
        <w:t xml:space="preserve">.  </w:t>
      </w:r>
      <w:r>
        <w:rPr>
          <w:rFonts w:ascii="Times New Roman" w:eastAsia="Segoe UI" w:hAnsi="Times New Roman" w:cs="Times New Roman"/>
          <w:sz w:val="20"/>
          <w:szCs w:val="20"/>
          <w:shd w:val="clear" w:color="auto" w:fill="FFFFFF"/>
          <w:lang w:eastAsia="zh-CN"/>
        </w:rPr>
        <w:t xml:space="preserve">Acesso em: 1o out. 2025. </w:t>
      </w:r>
    </w:p>
    <w:p w14:paraId="5F2C20A0" w14:textId="77777777" w:rsidR="0003312E" w:rsidRDefault="00000000">
      <w:pPr>
        <w:pStyle w:val="PargrafodaLista"/>
        <w:numPr>
          <w:ilvl w:val="0"/>
          <w:numId w:val="3"/>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val="en-US" w:eastAsia="zh-CN"/>
        </w:rPr>
        <w:t xml:space="preserve">YALE UNIVERSITY LIBRARY. George Miller Beard papers. </w:t>
      </w:r>
      <w:proofErr w:type="spellStart"/>
      <w:r>
        <w:rPr>
          <w:rFonts w:ascii="Times New Roman" w:eastAsia="Segoe UI" w:hAnsi="Times New Roman" w:cs="Times New Roman"/>
          <w:sz w:val="20"/>
          <w:szCs w:val="20"/>
          <w:shd w:val="clear" w:color="auto" w:fill="FFFFFF"/>
          <w:lang w:eastAsia="zh-CN"/>
        </w:rPr>
        <w:t>Manuscripts</w:t>
      </w:r>
      <w:proofErr w:type="spellEnd"/>
      <w:r>
        <w:rPr>
          <w:rFonts w:ascii="Times New Roman" w:eastAsia="Segoe UI" w:hAnsi="Times New Roman" w:cs="Times New Roman"/>
          <w:sz w:val="20"/>
          <w:szCs w:val="20"/>
          <w:shd w:val="clear" w:color="auto" w:fill="FFFFFF"/>
          <w:lang w:eastAsia="zh-CN"/>
        </w:rPr>
        <w:t xml:space="preserve"> </w:t>
      </w:r>
      <w:proofErr w:type="spellStart"/>
      <w:r>
        <w:rPr>
          <w:rFonts w:ascii="Times New Roman" w:eastAsia="Segoe UI" w:hAnsi="Times New Roman" w:cs="Times New Roman"/>
          <w:sz w:val="20"/>
          <w:szCs w:val="20"/>
          <w:shd w:val="clear" w:color="auto" w:fill="FFFFFF"/>
          <w:lang w:eastAsia="zh-CN"/>
        </w:rPr>
        <w:t>and</w:t>
      </w:r>
      <w:proofErr w:type="spellEnd"/>
      <w:r>
        <w:rPr>
          <w:rFonts w:ascii="Times New Roman" w:eastAsia="Segoe UI" w:hAnsi="Times New Roman" w:cs="Times New Roman"/>
          <w:sz w:val="20"/>
          <w:szCs w:val="20"/>
          <w:shd w:val="clear" w:color="auto" w:fill="FFFFFF"/>
          <w:lang w:eastAsia="zh-CN"/>
        </w:rPr>
        <w:t xml:space="preserve"> </w:t>
      </w:r>
      <w:proofErr w:type="spellStart"/>
      <w:r>
        <w:rPr>
          <w:rFonts w:ascii="Times New Roman" w:eastAsia="Segoe UI" w:hAnsi="Times New Roman" w:cs="Times New Roman"/>
          <w:sz w:val="20"/>
          <w:szCs w:val="20"/>
          <w:shd w:val="clear" w:color="auto" w:fill="FFFFFF"/>
          <w:lang w:eastAsia="zh-CN"/>
        </w:rPr>
        <w:t>Archives</w:t>
      </w:r>
      <w:proofErr w:type="spellEnd"/>
      <w:r>
        <w:rPr>
          <w:rFonts w:ascii="Times New Roman" w:eastAsia="Segoe UI" w:hAnsi="Times New Roman" w:cs="Times New Roman"/>
          <w:sz w:val="20"/>
          <w:szCs w:val="20"/>
          <w:shd w:val="clear" w:color="auto" w:fill="FFFFFF"/>
          <w:lang w:eastAsia="zh-CN"/>
        </w:rPr>
        <w:t xml:space="preserve">, MS 584. Disponível em: </w:t>
      </w:r>
      <w:hyperlink r:id="rId97" w:tgtFrame="_new" w:history="1">
        <w:r>
          <w:rPr>
            <w:rStyle w:val="Hyperlink"/>
            <w:rFonts w:ascii="Times New Roman" w:eastAsia="Segoe UI" w:hAnsi="Times New Roman" w:cs="Times New Roman"/>
            <w:color w:val="auto"/>
            <w:sz w:val="20"/>
            <w:szCs w:val="20"/>
            <w:shd w:val="clear" w:color="auto" w:fill="FFFFFF"/>
            <w:lang w:eastAsia="zh-CN"/>
          </w:rPr>
          <w:t>https://archives.yale.edu/repositories/12/resources/3104</w:t>
        </w:r>
      </w:hyperlink>
      <w:r>
        <w:rPr>
          <w:rFonts w:ascii="Times New Roman" w:eastAsia="Segoe UI" w:hAnsi="Times New Roman" w:cs="Times New Roman"/>
          <w:sz w:val="20"/>
          <w:szCs w:val="20"/>
          <w:shd w:val="clear" w:color="auto" w:fill="FFFFFF"/>
          <w:lang w:eastAsia="zh-CN"/>
        </w:rPr>
        <w:t xml:space="preserve">.  Acesso em: 1o out. 2025. </w:t>
      </w:r>
    </w:p>
    <w:p w14:paraId="3AEC84AC" w14:textId="77777777" w:rsidR="0003312E" w:rsidRDefault="00000000">
      <w:pPr>
        <w:pStyle w:val="PargrafodaLista"/>
        <w:numPr>
          <w:ilvl w:val="0"/>
          <w:numId w:val="3"/>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eastAsia="zh-CN"/>
        </w:rPr>
        <w:t xml:space="preserve">ZORZANELLI, Rafaela Teixeira. Neurastenia. História, Ciências, Saúde-Manguinhos, v. 17, p. 431-446, 2010. Disponível em: </w:t>
      </w:r>
      <w:hyperlink r:id="rId98" w:history="1">
        <w:r>
          <w:rPr>
            <w:rStyle w:val="Hyperlink"/>
            <w:rFonts w:ascii="Times New Roman" w:eastAsia="Segoe UI" w:hAnsi="Times New Roman" w:cs="Times New Roman"/>
            <w:sz w:val="20"/>
            <w:szCs w:val="20"/>
            <w:shd w:val="clear" w:color="auto" w:fill="FFFFFF"/>
            <w:lang w:eastAsia="zh-CN"/>
          </w:rPr>
          <w:t>https://doi.org/10.1590/S0104-59702010000600010</w:t>
        </w:r>
      </w:hyperlink>
      <w:r>
        <w:rPr>
          <w:rFonts w:ascii="Times New Roman" w:eastAsia="Segoe UI" w:hAnsi="Times New Roman" w:cs="Times New Roman"/>
          <w:sz w:val="20"/>
          <w:szCs w:val="20"/>
          <w:shd w:val="clear" w:color="auto" w:fill="FFFFFF"/>
          <w:lang w:eastAsia="zh-CN"/>
        </w:rPr>
        <w:t xml:space="preserve">. Acesso em: 1o out. 2025. </w:t>
      </w:r>
    </w:p>
    <w:p w14:paraId="1EAA9F91" w14:textId="77777777" w:rsidR="0003312E" w:rsidRDefault="00000000">
      <w:pPr>
        <w:pStyle w:val="PargrafodaLista"/>
        <w:numPr>
          <w:ilvl w:val="0"/>
          <w:numId w:val="3"/>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egoe UI" w:hAnsi="Times New Roman" w:cs="Times New Roman"/>
          <w:sz w:val="20"/>
          <w:szCs w:val="20"/>
          <w:shd w:val="clear" w:color="auto" w:fill="FFFFFF"/>
          <w:lang w:val="en-US" w:eastAsia="zh-CN"/>
        </w:rPr>
        <w:t xml:space="preserve">WORLD HEALTH ORGANIZATION. Burn-out an "occupational phenomenon": International Classification of Diseases. </w:t>
      </w:r>
      <w:r>
        <w:rPr>
          <w:rFonts w:ascii="Times New Roman" w:eastAsia="Segoe UI" w:hAnsi="Times New Roman" w:cs="Times New Roman"/>
          <w:sz w:val="20"/>
          <w:szCs w:val="20"/>
          <w:shd w:val="clear" w:color="auto" w:fill="FFFFFF"/>
          <w:lang w:eastAsia="zh-CN"/>
        </w:rPr>
        <w:t>Genebra: WHO, 28 maio 2019. Disponível em: </w:t>
      </w:r>
      <w:hyperlink r:id="rId99" w:tgtFrame="_blank" w:history="1">
        <w:r>
          <w:rPr>
            <w:rStyle w:val="Hyperlink"/>
            <w:rFonts w:ascii="Times New Roman" w:eastAsia="Segoe UI" w:hAnsi="Times New Roman" w:cs="Times New Roman"/>
            <w:color w:val="auto"/>
            <w:sz w:val="20"/>
            <w:szCs w:val="20"/>
            <w:u w:val="none"/>
            <w:shd w:val="clear" w:color="auto" w:fill="FFFFFF"/>
            <w:lang w:eastAsia="zh-CN"/>
          </w:rPr>
          <w:t>https://www.who.int/news/item/28-05-2019-burn-out-an-occupational-phenomenon-international-classification-of-diseases</w:t>
        </w:r>
      </w:hyperlink>
      <w:r>
        <w:rPr>
          <w:rFonts w:ascii="Times New Roman" w:eastAsia="Segoe UI" w:hAnsi="Times New Roman" w:cs="Times New Roman"/>
          <w:sz w:val="20"/>
          <w:szCs w:val="20"/>
          <w:shd w:val="clear" w:color="auto" w:fill="FFFFFF"/>
          <w:lang w:eastAsia="zh-CN"/>
        </w:rPr>
        <w:t>. Acesso em: 1o out. 2025.</w:t>
      </w:r>
    </w:p>
    <w:p w14:paraId="12B8326E" w14:textId="77777777" w:rsidR="0003312E" w:rsidRDefault="00000000">
      <w:pPr>
        <w:spacing w:after="0" w:line="360" w:lineRule="auto"/>
        <w:ind w:firstLine="709"/>
        <w:jc w:val="both"/>
        <w:rPr>
          <w:rFonts w:ascii="Times New Roman" w:eastAsia="SimSun" w:hAnsi="Times New Roman" w:cs="Times New Roman"/>
          <w:b/>
          <w:bCs/>
          <w:sz w:val="24"/>
          <w:szCs w:val="24"/>
          <w:lang w:eastAsia="zh-CN"/>
        </w:rPr>
      </w:pPr>
      <w:r>
        <w:rPr>
          <w:rFonts w:ascii="Times New Roman" w:eastAsia="SimSun" w:hAnsi="Times New Roman" w:cs="Times New Roman"/>
          <w:b/>
          <w:bCs/>
          <w:sz w:val="24"/>
          <w:szCs w:val="24"/>
          <w:lang w:eastAsia="zh-CN"/>
        </w:rPr>
        <w:t>Capítulo 9</w:t>
      </w:r>
    </w:p>
    <w:p w14:paraId="3F7354A4" w14:textId="77777777" w:rsidR="0003312E" w:rsidRDefault="00000000">
      <w:pPr>
        <w:pStyle w:val="PargrafodaLista"/>
        <w:numPr>
          <w:ilvl w:val="0"/>
          <w:numId w:val="12"/>
        </w:numPr>
        <w:spacing w:after="0" w:line="240" w:lineRule="auto"/>
        <w:ind w:left="0" w:firstLine="0"/>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 xml:space="preserve">CNRTL-CENTRE NATIONAL DE RESSOURCES TEXTUELLES ET LEXICALES. </w:t>
      </w:r>
      <w:proofErr w:type="spellStart"/>
      <w:r>
        <w:rPr>
          <w:rFonts w:ascii="Times New Roman" w:eastAsia="SimSun" w:hAnsi="Times New Roman" w:cs="Times New Roman"/>
          <w:sz w:val="20"/>
          <w:szCs w:val="20"/>
          <w:lang w:eastAsia="zh-CN"/>
        </w:rPr>
        <w:t>Trésor</w:t>
      </w:r>
      <w:proofErr w:type="spellEnd"/>
      <w:r>
        <w:rPr>
          <w:rFonts w:ascii="Times New Roman" w:eastAsia="SimSun" w:hAnsi="Times New Roman" w:cs="Times New Roman"/>
          <w:sz w:val="20"/>
          <w:szCs w:val="20"/>
          <w:lang w:eastAsia="zh-CN"/>
        </w:rPr>
        <w:t xml:space="preserve"> de </w:t>
      </w:r>
      <w:proofErr w:type="spellStart"/>
      <w:r>
        <w:rPr>
          <w:rFonts w:ascii="Times New Roman" w:eastAsia="SimSun" w:hAnsi="Times New Roman" w:cs="Times New Roman"/>
          <w:sz w:val="20"/>
          <w:szCs w:val="20"/>
          <w:lang w:eastAsia="zh-CN"/>
        </w:rPr>
        <w:t>la</w:t>
      </w:r>
      <w:proofErr w:type="spellEnd"/>
      <w:r>
        <w:rPr>
          <w:rFonts w:ascii="Times New Roman" w:eastAsia="SimSun" w:hAnsi="Times New Roman" w:cs="Times New Roman"/>
          <w:sz w:val="20"/>
          <w:szCs w:val="20"/>
          <w:lang w:eastAsia="zh-CN"/>
        </w:rPr>
        <w:t xml:space="preserve"> Langue Française </w:t>
      </w:r>
      <w:proofErr w:type="spellStart"/>
      <w:r>
        <w:rPr>
          <w:rFonts w:ascii="Times New Roman" w:eastAsia="SimSun" w:hAnsi="Times New Roman" w:cs="Times New Roman"/>
          <w:sz w:val="20"/>
          <w:szCs w:val="20"/>
          <w:lang w:eastAsia="zh-CN"/>
        </w:rPr>
        <w:t>informatisé</w:t>
      </w:r>
      <w:proofErr w:type="spellEnd"/>
      <w:r>
        <w:rPr>
          <w:rFonts w:ascii="Times New Roman" w:eastAsia="SimSun" w:hAnsi="Times New Roman" w:cs="Times New Roman"/>
          <w:sz w:val="20"/>
          <w:szCs w:val="20"/>
          <w:lang w:eastAsia="zh-CN"/>
        </w:rPr>
        <w:t xml:space="preserve">. Nancy: CNRS, 2012. Disponível em: </w:t>
      </w:r>
      <w:r>
        <w:rPr>
          <w:rFonts w:ascii="Times New Roman" w:hAnsi="Times New Roman" w:cs="Times New Roman"/>
          <w:sz w:val="20"/>
          <w:szCs w:val="20"/>
        </w:rPr>
        <w:t>https://www.cnrtl.fr/etymologie/ANXIÉTÉ</w:t>
      </w:r>
      <w:r>
        <w:rPr>
          <w:rFonts w:ascii="Times New Roman" w:eastAsia="SimSun" w:hAnsi="Times New Roman" w:cs="Times New Roman"/>
          <w:sz w:val="20"/>
          <w:szCs w:val="20"/>
          <w:lang w:eastAsia="zh-CN"/>
        </w:rPr>
        <w:t xml:space="preserve">.  Acesso em: 1o out. 2025. </w:t>
      </w:r>
    </w:p>
    <w:p w14:paraId="4682F7A3" w14:textId="77777777" w:rsidR="0003312E" w:rsidRDefault="00000000">
      <w:pPr>
        <w:pStyle w:val="PargrafodaLista"/>
        <w:numPr>
          <w:ilvl w:val="0"/>
          <w:numId w:val="12"/>
        </w:numPr>
        <w:spacing w:after="0" w:line="240" w:lineRule="auto"/>
        <w:ind w:left="0" w:firstLine="0"/>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val="en-US" w:eastAsia="zh-CN"/>
        </w:rPr>
        <w:t xml:space="preserve">CROCQ, M. A. A history of anxiety: from Hippocrates to DSM. </w:t>
      </w:r>
      <w:r>
        <w:rPr>
          <w:rFonts w:ascii="Times New Roman" w:eastAsia="SimSun" w:hAnsi="Times New Roman" w:cs="Times New Roman"/>
          <w:sz w:val="20"/>
          <w:szCs w:val="20"/>
          <w:lang w:eastAsia="zh-CN"/>
        </w:rPr>
        <w:t xml:space="preserve">Dialogues in Clinical </w:t>
      </w:r>
      <w:proofErr w:type="spellStart"/>
      <w:r>
        <w:rPr>
          <w:rFonts w:ascii="Times New Roman" w:eastAsia="SimSun" w:hAnsi="Times New Roman" w:cs="Times New Roman"/>
          <w:sz w:val="20"/>
          <w:szCs w:val="20"/>
          <w:lang w:eastAsia="zh-CN"/>
        </w:rPr>
        <w:t>Neuroscience</w:t>
      </w:r>
      <w:proofErr w:type="spellEnd"/>
      <w:r>
        <w:rPr>
          <w:rFonts w:ascii="Times New Roman" w:eastAsia="SimSun" w:hAnsi="Times New Roman" w:cs="Times New Roman"/>
          <w:sz w:val="20"/>
          <w:szCs w:val="20"/>
          <w:lang w:eastAsia="zh-CN"/>
        </w:rPr>
        <w:t xml:space="preserve">, v. 17, n. 3, p. 319 - 325, set. 2015. DOI: 10.31887/DCNS.2015.17.3.macrocq. Disponível em: </w:t>
      </w:r>
      <w:hyperlink r:id="rId100" w:tgtFrame="_new" w:history="1">
        <w:r>
          <w:rPr>
            <w:rStyle w:val="Hyperlink"/>
            <w:rFonts w:ascii="Times New Roman" w:eastAsia="SimSun" w:hAnsi="Times New Roman" w:cs="Times New Roman"/>
            <w:color w:val="auto"/>
            <w:sz w:val="20"/>
            <w:szCs w:val="20"/>
            <w:lang w:eastAsia="zh-CN"/>
          </w:rPr>
          <w:t>https://pubmed.ncbi.nlm.nih.gov/26487812/</w:t>
        </w:r>
      </w:hyperlink>
      <w:r>
        <w:rPr>
          <w:rFonts w:ascii="Times New Roman" w:eastAsia="SimSun" w:hAnsi="Times New Roman" w:cs="Times New Roman"/>
          <w:sz w:val="20"/>
          <w:szCs w:val="20"/>
          <w:lang w:eastAsia="zh-CN"/>
        </w:rPr>
        <w:t xml:space="preserve">.  Acesso em: 1o out. 2025. </w:t>
      </w:r>
    </w:p>
    <w:p w14:paraId="2962FCD0" w14:textId="77777777" w:rsidR="0003312E" w:rsidRDefault="00000000">
      <w:pPr>
        <w:pStyle w:val="PargrafodaLista"/>
        <w:numPr>
          <w:ilvl w:val="0"/>
          <w:numId w:val="12"/>
        </w:numPr>
        <w:spacing w:after="0" w:line="240" w:lineRule="auto"/>
        <w:ind w:left="0" w:firstLine="0"/>
        <w:jc w:val="both"/>
        <w:rPr>
          <w:rFonts w:ascii="Times New Roman" w:eastAsia="SimSun" w:hAnsi="Times New Roman" w:cs="Times New Roman"/>
          <w:sz w:val="20"/>
          <w:szCs w:val="20"/>
          <w:lang w:eastAsia="zh-CN"/>
        </w:rPr>
      </w:pPr>
      <w:r>
        <w:rPr>
          <w:rFonts w:ascii="Times New Roman" w:eastAsia="Times New Roman" w:hAnsi="Times New Roman" w:cs="Times New Roman"/>
          <w:kern w:val="0"/>
          <w:sz w:val="20"/>
          <w:szCs w:val="20"/>
          <w:lang w:eastAsia="pt-BR"/>
          <w14:ligatures w14:val="none"/>
        </w:rPr>
        <w:lastRenderedPageBreak/>
        <w:t xml:space="preserve">DECEL - </w:t>
      </w:r>
      <w:proofErr w:type="spellStart"/>
      <w:r>
        <w:rPr>
          <w:rFonts w:ascii="Times New Roman" w:eastAsia="Times New Roman" w:hAnsi="Times New Roman" w:cs="Times New Roman"/>
          <w:kern w:val="0"/>
          <w:sz w:val="20"/>
          <w:szCs w:val="20"/>
          <w:lang w:eastAsia="pt-BR"/>
          <w14:ligatures w14:val="none"/>
        </w:rPr>
        <w:t>Diccionario</w:t>
      </w:r>
      <w:proofErr w:type="spellEnd"/>
      <w:r>
        <w:rPr>
          <w:rFonts w:ascii="Times New Roman" w:eastAsia="Times New Roman" w:hAnsi="Times New Roman" w:cs="Times New Roman"/>
          <w:kern w:val="0"/>
          <w:sz w:val="20"/>
          <w:szCs w:val="20"/>
          <w:lang w:eastAsia="pt-BR"/>
          <w14:ligatures w14:val="none"/>
        </w:rPr>
        <w:t xml:space="preserve"> Etimológico Castellano </w:t>
      </w:r>
      <w:proofErr w:type="spellStart"/>
      <w:r>
        <w:rPr>
          <w:rFonts w:ascii="Times New Roman" w:eastAsia="Times New Roman" w:hAnsi="Times New Roman" w:cs="Times New Roman"/>
          <w:kern w:val="0"/>
          <w:sz w:val="20"/>
          <w:szCs w:val="20"/>
          <w:lang w:eastAsia="pt-BR"/>
          <w14:ligatures w14:val="none"/>
        </w:rPr>
        <w:t>En</w:t>
      </w:r>
      <w:proofErr w:type="spellEnd"/>
      <w:r>
        <w:rPr>
          <w:rFonts w:ascii="Times New Roman" w:eastAsia="Times New Roman" w:hAnsi="Times New Roman" w:cs="Times New Roman"/>
          <w:kern w:val="0"/>
          <w:sz w:val="20"/>
          <w:szCs w:val="20"/>
          <w:lang w:eastAsia="pt-BR"/>
          <w14:ligatures w14:val="none"/>
        </w:rPr>
        <w:t xml:space="preserve"> Línea. Disponível em: &lt;https://etimologias.dechile.net/?</w:t>
      </w:r>
      <w:proofErr w:type="spellStart"/>
      <w:r>
        <w:rPr>
          <w:rFonts w:ascii="Times New Roman" w:eastAsia="Times New Roman" w:hAnsi="Times New Roman" w:cs="Times New Roman"/>
          <w:kern w:val="0"/>
          <w:sz w:val="20"/>
          <w:szCs w:val="20"/>
          <w:lang w:eastAsia="pt-BR"/>
          <w14:ligatures w14:val="none"/>
        </w:rPr>
        <w:t>ansiedad</w:t>
      </w:r>
      <w:proofErr w:type="spellEnd"/>
      <w:r>
        <w:rPr>
          <w:rFonts w:ascii="Times New Roman" w:eastAsia="Times New Roman" w:hAnsi="Times New Roman" w:cs="Times New Roman"/>
          <w:kern w:val="0"/>
          <w:sz w:val="20"/>
          <w:szCs w:val="20"/>
          <w:lang w:eastAsia="pt-BR"/>
          <w14:ligatures w14:val="none"/>
        </w:rPr>
        <w:t xml:space="preserve">&gt;.  Acesso em: 1o out. 2025. </w:t>
      </w:r>
    </w:p>
    <w:p w14:paraId="55896DCF" w14:textId="77777777" w:rsidR="0003312E" w:rsidRDefault="00000000">
      <w:pPr>
        <w:pStyle w:val="PargrafodaLista"/>
        <w:numPr>
          <w:ilvl w:val="0"/>
          <w:numId w:val="12"/>
        </w:numPr>
        <w:spacing w:after="0" w:line="240" w:lineRule="auto"/>
        <w:ind w:left="0" w:firstLine="0"/>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val="en-US" w:eastAsia="zh-CN"/>
        </w:rPr>
        <w:t xml:space="preserve">GEE, B. A.; HOOD, H. K.; ANTONY, M. M. Anxiety disorders - A historical perspective. In: PLANTE, T. G. (Ed.). </w:t>
      </w:r>
      <w:r>
        <w:rPr>
          <w:rFonts w:ascii="Times New Roman" w:eastAsia="SimSun" w:hAnsi="Times New Roman" w:cs="Times New Roman"/>
          <w:i/>
          <w:iCs/>
          <w:sz w:val="20"/>
          <w:szCs w:val="20"/>
          <w:lang w:val="en-US" w:eastAsia="zh-CN"/>
        </w:rPr>
        <w:t>Abnormal psychology across the ages</w:t>
      </w:r>
      <w:r>
        <w:rPr>
          <w:rFonts w:ascii="Times New Roman" w:eastAsia="SimSun" w:hAnsi="Times New Roman" w:cs="Times New Roman"/>
          <w:sz w:val="20"/>
          <w:szCs w:val="20"/>
          <w:lang w:val="en-US" w:eastAsia="zh-CN"/>
        </w:rPr>
        <w:t xml:space="preserve">. Vol. 1: History and conceptualizations. Santa Barbara: Praeger/ABC-CLIO, 2013. p. 31 - 47. </w:t>
      </w:r>
      <w:r>
        <w:rPr>
          <w:rFonts w:ascii="Times New Roman" w:eastAsia="SimSun" w:hAnsi="Times New Roman" w:cs="Times New Roman"/>
          <w:sz w:val="20"/>
          <w:szCs w:val="20"/>
          <w:lang w:eastAsia="zh-CN"/>
        </w:rPr>
        <w:t xml:space="preserve">Disponível em: </w:t>
      </w:r>
      <w:hyperlink r:id="rId101" w:tgtFrame="_new" w:history="1">
        <w:r>
          <w:rPr>
            <w:rStyle w:val="Hyperlink"/>
            <w:rFonts w:ascii="Times New Roman" w:eastAsia="SimSun" w:hAnsi="Times New Roman" w:cs="Times New Roman"/>
            <w:color w:val="auto"/>
            <w:sz w:val="20"/>
            <w:szCs w:val="20"/>
            <w:lang w:eastAsia="zh-CN"/>
          </w:rPr>
          <w:t>https://psycnet.apa.org/record/2013-26225-018</w:t>
        </w:r>
      </w:hyperlink>
      <w:r>
        <w:rPr>
          <w:rFonts w:ascii="Times New Roman" w:eastAsia="SimSun" w:hAnsi="Times New Roman" w:cs="Times New Roman"/>
          <w:sz w:val="20"/>
          <w:szCs w:val="20"/>
          <w:lang w:eastAsia="zh-CN"/>
        </w:rPr>
        <w:t xml:space="preserve">.  Acesso em: 1o out. 2025. </w:t>
      </w:r>
    </w:p>
    <w:p w14:paraId="14468B86" w14:textId="77777777" w:rsidR="0003312E" w:rsidRDefault="00000000">
      <w:pPr>
        <w:pStyle w:val="PargrafodaLista"/>
        <w:numPr>
          <w:ilvl w:val="0"/>
          <w:numId w:val="12"/>
        </w:numPr>
        <w:spacing w:after="0" w:line="240" w:lineRule="auto"/>
        <w:ind w:left="0" w:firstLine="0"/>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val="en-US" w:eastAsia="zh-CN"/>
        </w:rPr>
        <w:t xml:space="preserve">HARPER, Douglas. Online Etymology Dictionary. </w:t>
      </w:r>
      <w:r>
        <w:rPr>
          <w:rFonts w:ascii="Times New Roman" w:eastAsia="SimSun" w:hAnsi="Times New Roman" w:cs="Times New Roman"/>
          <w:sz w:val="20"/>
          <w:szCs w:val="20"/>
          <w:lang w:eastAsia="zh-CN"/>
        </w:rPr>
        <w:t xml:space="preserve">2001-2024. Disponível em: </w:t>
      </w:r>
      <w:hyperlink r:id="rId102" w:tgtFrame="_new" w:history="1">
        <w:hyperlink r:id="rId103" w:tgtFrame="_new" w:history="1">
          <w:r>
            <w:rPr>
              <w:rStyle w:val="Hyperlink"/>
              <w:rFonts w:ascii="Times New Roman" w:eastAsia="SimSun" w:hAnsi="Times New Roman" w:cs="Times New Roman"/>
              <w:color w:val="auto"/>
              <w:sz w:val="20"/>
              <w:szCs w:val="20"/>
              <w:lang w:eastAsia="zh-CN"/>
            </w:rPr>
            <w:t>https://www.etymonline.com/word/anxiety</w:t>
          </w:r>
        </w:hyperlink>
        <w:r>
          <w:rPr>
            <w:rStyle w:val="Hyperlink"/>
            <w:rFonts w:ascii="Times New Roman" w:eastAsia="SimSun" w:hAnsi="Times New Roman" w:cs="Times New Roman"/>
            <w:color w:val="auto"/>
            <w:sz w:val="20"/>
            <w:szCs w:val="20"/>
            <w:lang w:eastAsia="zh-CN"/>
          </w:rPr>
          <w:t>/</w:t>
        </w:r>
      </w:hyperlink>
      <w:r>
        <w:rPr>
          <w:rFonts w:ascii="Times New Roman" w:eastAsia="SimSun" w:hAnsi="Times New Roman" w:cs="Times New Roman"/>
          <w:sz w:val="20"/>
          <w:szCs w:val="20"/>
          <w:lang w:eastAsia="zh-CN"/>
        </w:rPr>
        <w:t xml:space="preserve">.  Acesso em: 1o out. 2025. </w:t>
      </w:r>
    </w:p>
    <w:p w14:paraId="716347AD" w14:textId="77777777" w:rsidR="0003312E" w:rsidRDefault="00000000">
      <w:pPr>
        <w:pStyle w:val="PargrafodaLista"/>
        <w:numPr>
          <w:ilvl w:val="0"/>
          <w:numId w:val="12"/>
        </w:numPr>
        <w:spacing w:after="0" w:line="240" w:lineRule="auto"/>
        <w:ind w:left="0" w:firstLine="0"/>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val="en-US" w:eastAsia="zh-CN"/>
        </w:rPr>
        <w:t xml:space="preserve">HUGHES, Emily. Revisiting Kierkegaard on Anxiety and Despair. In: The Routledge Handbook of Contemporary Existentialism. </w:t>
      </w:r>
      <w:proofErr w:type="spellStart"/>
      <w:r>
        <w:rPr>
          <w:rFonts w:ascii="Times New Roman" w:eastAsia="SimSun" w:hAnsi="Times New Roman" w:cs="Times New Roman"/>
          <w:sz w:val="20"/>
          <w:szCs w:val="20"/>
          <w:lang w:eastAsia="zh-CN"/>
        </w:rPr>
        <w:t>Routledge</w:t>
      </w:r>
      <w:proofErr w:type="spellEnd"/>
      <w:r>
        <w:rPr>
          <w:rFonts w:ascii="Times New Roman" w:eastAsia="SimSun" w:hAnsi="Times New Roman" w:cs="Times New Roman"/>
          <w:sz w:val="20"/>
          <w:szCs w:val="20"/>
          <w:lang w:eastAsia="zh-CN"/>
        </w:rPr>
        <w:t xml:space="preserve">, 2024. p. 211-219. Disponível em: </w:t>
      </w:r>
      <w:r>
        <w:rPr>
          <w:rFonts w:ascii="Times New Roman" w:hAnsi="Times New Roman" w:cs="Times New Roman"/>
          <w:sz w:val="20"/>
          <w:szCs w:val="20"/>
        </w:rPr>
        <w:t>https://www.academia.edu/103671079/Revisiting_Kierkegaard_On_Anxiety_And_Despair</w:t>
      </w:r>
      <w:r>
        <w:rPr>
          <w:rFonts w:ascii="Times New Roman" w:eastAsia="SimSun" w:hAnsi="Times New Roman" w:cs="Times New Roman"/>
          <w:sz w:val="20"/>
          <w:szCs w:val="20"/>
          <w:lang w:eastAsia="zh-CN"/>
        </w:rPr>
        <w:t xml:space="preserve">.  Acesso em: 1o out. 2025. </w:t>
      </w:r>
    </w:p>
    <w:p w14:paraId="08C1BA4D" w14:textId="77777777" w:rsidR="0003312E" w:rsidRDefault="00000000">
      <w:pPr>
        <w:pStyle w:val="PargrafodaLista"/>
        <w:numPr>
          <w:ilvl w:val="0"/>
          <w:numId w:val="12"/>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Style w:val="Forte"/>
          <w:rFonts w:ascii="Times New Roman" w:eastAsia="Segoe UI" w:hAnsi="Times New Roman" w:cs="Times New Roman"/>
          <w:b w:val="0"/>
          <w:bCs w:val="0"/>
          <w:sz w:val="20"/>
          <w:szCs w:val="20"/>
          <w:shd w:val="clear" w:color="auto" w:fill="FFFFFF"/>
          <w:lang w:val="en-US"/>
        </w:rPr>
        <w:t>LEWIS, Charlton T.; SHORT, Charles.</w:t>
      </w:r>
      <w:r>
        <w:rPr>
          <w:rFonts w:ascii="Times New Roman" w:eastAsia="Segoe UI" w:hAnsi="Times New Roman" w:cs="Times New Roman"/>
          <w:sz w:val="20"/>
          <w:szCs w:val="20"/>
          <w:shd w:val="clear" w:color="auto" w:fill="FFFFFF"/>
          <w:lang w:val="en-US"/>
        </w:rPr>
        <w:t> </w:t>
      </w:r>
      <w:r>
        <w:rPr>
          <w:rStyle w:val="nfase"/>
          <w:rFonts w:ascii="Times New Roman" w:eastAsia="Segoe UI" w:hAnsi="Times New Roman" w:cs="Times New Roman"/>
          <w:sz w:val="20"/>
          <w:szCs w:val="20"/>
          <w:shd w:val="clear" w:color="auto" w:fill="FFFFFF"/>
          <w:lang w:val="en-US"/>
        </w:rPr>
        <w:t>A Latin Dictionary.</w:t>
      </w:r>
      <w:r>
        <w:rPr>
          <w:rFonts w:ascii="Times New Roman" w:eastAsia="Segoe UI" w:hAnsi="Times New Roman" w:cs="Times New Roman"/>
          <w:sz w:val="20"/>
          <w:szCs w:val="20"/>
          <w:shd w:val="clear" w:color="auto" w:fill="FFFFFF"/>
          <w:lang w:val="en-US"/>
        </w:rPr>
        <w:t xml:space="preserve"> Oxford: Clarendon Press, 1879. </w:t>
      </w:r>
      <w:r>
        <w:rPr>
          <w:rFonts w:ascii="Times New Roman" w:eastAsia="Segoe UI" w:hAnsi="Times New Roman" w:cs="Times New Roman"/>
          <w:sz w:val="20"/>
          <w:szCs w:val="20"/>
          <w:shd w:val="clear" w:color="auto" w:fill="FFFFFF"/>
        </w:rPr>
        <w:t xml:space="preserve">Disponível em: https://www.perseus.tufts.edu/hopper/searchresults?target=la&amp;all_words=anxietas&amp;phrase=&amp;any_words=&amp;exclude_words=&amp;documents=. </w:t>
      </w:r>
      <w:r>
        <w:rPr>
          <w:rFonts w:ascii="Times New Roman" w:eastAsia="Segoe UI" w:hAnsi="Times New Roman" w:cs="Times New Roman"/>
          <w:sz w:val="20"/>
          <w:szCs w:val="20"/>
          <w:shd w:val="clear" w:color="auto" w:fill="FFFFFF"/>
          <w:lang w:eastAsia="zh-CN"/>
        </w:rPr>
        <w:t>Acesso em: 1o out. 2025.</w:t>
      </w:r>
    </w:p>
    <w:p w14:paraId="0B14D898" w14:textId="77777777" w:rsidR="0003312E" w:rsidRDefault="00000000">
      <w:pPr>
        <w:pStyle w:val="PargrafodaLista"/>
        <w:numPr>
          <w:ilvl w:val="0"/>
          <w:numId w:val="12"/>
        </w:numPr>
        <w:spacing w:after="0" w:line="240" w:lineRule="auto"/>
        <w:ind w:left="0" w:firstLine="0"/>
        <w:jc w:val="both"/>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 xml:space="preserve">RAE-REAL ACADEMIA ESPAÑOLA. </w:t>
      </w:r>
      <w:proofErr w:type="spellStart"/>
      <w:r>
        <w:rPr>
          <w:rFonts w:ascii="Times New Roman" w:eastAsia="SimSun" w:hAnsi="Times New Roman" w:cs="Times New Roman"/>
          <w:sz w:val="20"/>
          <w:szCs w:val="20"/>
          <w:lang w:eastAsia="zh-CN"/>
        </w:rPr>
        <w:t>Diccionario</w:t>
      </w:r>
      <w:proofErr w:type="spellEnd"/>
      <w:r>
        <w:rPr>
          <w:rFonts w:ascii="Times New Roman" w:eastAsia="SimSun" w:hAnsi="Times New Roman" w:cs="Times New Roman"/>
          <w:sz w:val="20"/>
          <w:szCs w:val="20"/>
          <w:lang w:eastAsia="zh-CN"/>
        </w:rPr>
        <w:t xml:space="preserve"> de </w:t>
      </w:r>
      <w:proofErr w:type="spellStart"/>
      <w:r>
        <w:rPr>
          <w:rFonts w:ascii="Times New Roman" w:eastAsia="SimSun" w:hAnsi="Times New Roman" w:cs="Times New Roman"/>
          <w:sz w:val="20"/>
          <w:szCs w:val="20"/>
          <w:lang w:eastAsia="zh-CN"/>
        </w:rPr>
        <w:t>la</w:t>
      </w:r>
      <w:proofErr w:type="spellEnd"/>
      <w:r>
        <w:rPr>
          <w:rFonts w:ascii="Times New Roman" w:eastAsia="SimSun" w:hAnsi="Times New Roman" w:cs="Times New Roman"/>
          <w:sz w:val="20"/>
          <w:szCs w:val="20"/>
          <w:lang w:eastAsia="zh-CN"/>
        </w:rPr>
        <w:t xml:space="preserve"> </w:t>
      </w:r>
      <w:proofErr w:type="spellStart"/>
      <w:r>
        <w:rPr>
          <w:rFonts w:ascii="Times New Roman" w:eastAsia="SimSun" w:hAnsi="Times New Roman" w:cs="Times New Roman"/>
          <w:sz w:val="20"/>
          <w:szCs w:val="20"/>
          <w:lang w:eastAsia="zh-CN"/>
        </w:rPr>
        <w:t>lengua</w:t>
      </w:r>
      <w:proofErr w:type="spellEnd"/>
      <w:r>
        <w:rPr>
          <w:rFonts w:ascii="Times New Roman" w:eastAsia="SimSun" w:hAnsi="Times New Roman" w:cs="Times New Roman"/>
          <w:sz w:val="20"/>
          <w:szCs w:val="20"/>
          <w:lang w:eastAsia="zh-CN"/>
        </w:rPr>
        <w:t xml:space="preserve"> </w:t>
      </w:r>
      <w:proofErr w:type="spellStart"/>
      <w:r>
        <w:rPr>
          <w:rFonts w:ascii="Times New Roman" w:eastAsia="SimSun" w:hAnsi="Times New Roman" w:cs="Times New Roman"/>
          <w:sz w:val="20"/>
          <w:szCs w:val="20"/>
          <w:lang w:eastAsia="zh-CN"/>
        </w:rPr>
        <w:t>española</w:t>
      </w:r>
      <w:proofErr w:type="spellEnd"/>
      <w:r>
        <w:rPr>
          <w:rFonts w:ascii="Times New Roman" w:eastAsia="SimSun" w:hAnsi="Times New Roman" w:cs="Times New Roman"/>
          <w:sz w:val="20"/>
          <w:szCs w:val="20"/>
          <w:lang w:eastAsia="zh-CN"/>
        </w:rPr>
        <w:t xml:space="preserve">. 23. ed. [Madrid]: RAE, 2014. Disponível em: </w:t>
      </w:r>
      <w:r>
        <w:rPr>
          <w:rFonts w:ascii="Times New Roman" w:hAnsi="Times New Roman" w:cs="Times New Roman"/>
          <w:sz w:val="20"/>
          <w:szCs w:val="20"/>
        </w:rPr>
        <w:t>https://dle.rae.es/ansiedad?m=form</w:t>
      </w:r>
      <w:r>
        <w:rPr>
          <w:rFonts w:ascii="Times New Roman" w:eastAsia="SimSun" w:hAnsi="Times New Roman" w:cs="Times New Roman"/>
          <w:sz w:val="20"/>
          <w:szCs w:val="20"/>
          <w:lang w:eastAsia="zh-CN"/>
        </w:rPr>
        <w:t xml:space="preserve">.  Acesso em: 1o out. 2025. </w:t>
      </w:r>
    </w:p>
    <w:p w14:paraId="39C5F0AC" w14:textId="77777777" w:rsidR="0003312E" w:rsidRDefault="00000000">
      <w:pPr>
        <w:pStyle w:val="PargrafodaLista"/>
        <w:numPr>
          <w:ilvl w:val="0"/>
          <w:numId w:val="12"/>
        </w:numPr>
        <w:spacing w:after="0" w:line="240" w:lineRule="auto"/>
        <w:ind w:left="0" w:firstLine="0"/>
        <w:jc w:val="both"/>
        <w:rPr>
          <w:rFonts w:ascii="Times New Roman" w:eastAsia="Segoe UI" w:hAnsi="Times New Roman" w:cs="Times New Roman"/>
          <w:sz w:val="20"/>
          <w:szCs w:val="20"/>
          <w:shd w:val="clear" w:color="auto" w:fill="FFFFFF"/>
          <w:lang w:eastAsia="zh-CN"/>
        </w:rPr>
      </w:pPr>
      <w:r>
        <w:rPr>
          <w:rFonts w:ascii="Times New Roman" w:eastAsia="SimSun" w:hAnsi="Times New Roman" w:cs="Times New Roman"/>
          <w:sz w:val="20"/>
          <w:szCs w:val="20"/>
          <w:lang w:val="en-US" w:eastAsia="zh-CN"/>
        </w:rPr>
        <w:t xml:space="preserve">SALINAS, A. F. B. What Is Anxiety to Soren Kierkegaard?. </w:t>
      </w:r>
      <w:proofErr w:type="spellStart"/>
      <w:r>
        <w:rPr>
          <w:rFonts w:ascii="Times New Roman" w:eastAsia="SimSun" w:hAnsi="Times New Roman" w:cs="Times New Roman"/>
          <w:sz w:val="20"/>
          <w:szCs w:val="20"/>
          <w:lang w:eastAsia="zh-CN"/>
        </w:rPr>
        <w:t>TheCollector</w:t>
      </w:r>
      <w:proofErr w:type="spellEnd"/>
      <w:r>
        <w:rPr>
          <w:rFonts w:ascii="Times New Roman" w:eastAsia="SimSun" w:hAnsi="Times New Roman" w:cs="Times New Roman"/>
          <w:sz w:val="20"/>
          <w:szCs w:val="20"/>
          <w:lang w:eastAsia="zh-CN"/>
        </w:rPr>
        <w:t xml:space="preserve">, 2024. Disponível em: </w:t>
      </w:r>
      <w:hyperlink r:id="rId104" w:tgtFrame="_new" w:history="1">
        <w:r>
          <w:rPr>
            <w:rStyle w:val="Hyperlink"/>
            <w:rFonts w:ascii="Times New Roman" w:eastAsia="SimSun" w:hAnsi="Times New Roman" w:cs="Times New Roman"/>
            <w:color w:val="auto"/>
            <w:sz w:val="20"/>
            <w:szCs w:val="20"/>
            <w:lang w:eastAsia="zh-CN"/>
          </w:rPr>
          <w:t>https://www.thecollector.com/anxiety-soren-kierkegaard/</w:t>
        </w:r>
      </w:hyperlink>
      <w:r>
        <w:rPr>
          <w:rFonts w:ascii="Times New Roman" w:eastAsia="SimSun" w:hAnsi="Times New Roman" w:cs="Times New Roman"/>
          <w:sz w:val="20"/>
          <w:szCs w:val="20"/>
          <w:lang w:eastAsia="zh-CN"/>
        </w:rPr>
        <w:t xml:space="preserve">.  Acesso em: 1o out. 2025. </w:t>
      </w:r>
    </w:p>
    <w:p w14:paraId="79AECBD3" w14:textId="77777777" w:rsidR="0003312E" w:rsidRDefault="0003312E">
      <w:pPr>
        <w:pStyle w:val="NormalWeb"/>
        <w:spacing w:beforeAutospacing="0" w:after="0" w:afterAutospacing="0" w:line="360" w:lineRule="auto"/>
        <w:ind w:firstLine="709"/>
        <w:jc w:val="both"/>
        <w:rPr>
          <w:rFonts w:eastAsia="Segoe UI"/>
          <w:sz w:val="24"/>
          <w:shd w:val="clear" w:color="auto" w:fill="FFFFFF"/>
          <w:lang w:val="pt-BR"/>
        </w:rPr>
      </w:pPr>
    </w:p>
    <w:p w14:paraId="41CE5995" w14:textId="77777777" w:rsidR="0003312E" w:rsidRDefault="00000000">
      <w:pPr>
        <w:pStyle w:val="NormalWeb"/>
        <w:spacing w:beforeAutospacing="0" w:after="0" w:afterAutospacing="0" w:line="360" w:lineRule="auto"/>
        <w:ind w:firstLine="709"/>
        <w:jc w:val="both"/>
        <w:rPr>
          <w:rFonts w:eastAsia="Segoe UI"/>
          <w:b/>
          <w:bCs/>
          <w:sz w:val="24"/>
          <w:lang w:val="pt-BR"/>
        </w:rPr>
      </w:pPr>
      <w:r>
        <w:rPr>
          <w:rFonts w:eastAsia="Segoe UI"/>
          <w:b/>
          <w:bCs/>
          <w:sz w:val="24"/>
          <w:lang w:val="pt-BR"/>
        </w:rPr>
        <w:t>Capítulo 10</w:t>
      </w:r>
    </w:p>
    <w:p w14:paraId="244F93C1" w14:textId="77777777" w:rsidR="0003312E" w:rsidRDefault="00000000">
      <w:pPr>
        <w:pStyle w:val="NormalWeb"/>
        <w:numPr>
          <w:ilvl w:val="0"/>
          <w:numId w:val="13"/>
        </w:numPr>
        <w:spacing w:beforeAutospacing="0" w:after="0" w:afterAutospacing="0" w:line="240" w:lineRule="auto"/>
        <w:ind w:left="0" w:firstLine="0"/>
        <w:jc w:val="both"/>
        <w:rPr>
          <w:rFonts w:eastAsia="Segoe UI"/>
          <w:sz w:val="20"/>
          <w:szCs w:val="20"/>
          <w:lang w:val="pt-BR"/>
        </w:rPr>
      </w:pPr>
      <w:r>
        <w:rPr>
          <w:rStyle w:val="Forte"/>
          <w:b w:val="0"/>
          <w:bCs w:val="0"/>
          <w:sz w:val="20"/>
          <w:szCs w:val="20"/>
        </w:rPr>
        <w:t>BO, K.; GIANAROS, P. J.; WAGER, T. D.</w:t>
      </w:r>
      <w:r>
        <w:rPr>
          <w:sz w:val="20"/>
          <w:szCs w:val="20"/>
        </w:rPr>
        <w:t xml:space="preserve"> How the brain regulates emotion: mapping emotion generation and regulation in the human brain. </w:t>
      </w:r>
      <w:proofErr w:type="spellStart"/>
      <w:r>
        <w:rPr>
          <w:rStyle w:val="nfase"/>
          <w:sz w:val="20"/>
          <w:szCs w:val="20"/>
          <w:lang w:val="pt-BR"/>
        </w:rPr>
        <w:t>Nature</w:t>
      </w:r>
      <w:proofErr w:type="spellEnd"/>
      <w:r>
        <w:rPr>
          <w:rStyle w:val="nfase"/>
          <w:sz w:val="20"/>
          <w:szCs w:val="20"/>
          <w:lang w:val="pt-BR"/>
        </w:rPr>
        <w:t xml:space="preserve"> </w:t>
      </w:r>
      <w:proofErr w:type="spellStart"/>
      <w:r>
        <w:rPr>
          <w:rStyle w:val="nfase"/>
          <w:sz w:val="20"/>
          <w:szCs w:val="20"/>
          <w:lang w:val="pt-BR"/>
        </w:rPr>
        <w:t>Neuroscience</w:t>
      </w:r>
      <w:proofErr w:type="spellEnd"/>
      <w:r>
        <w:rPr>
          <w:sz w:val="20"/>
          <w:szCs w:val="20"/>
          <w:lang w:val="pt-BR"/>
        </w:rPr>
        <w:t>, 2024. Disponível em: https://neurosciencenews.com/emotion-regulation-mapping-25870/</w:t>
      </w:r>
      <w:proofErr w:type="gramStart"/>
      <w:r>
        <w:rPr>
          <w:sz w:val="20"/>
          <w:szCs w:val="20"/>
          <w:lang w:val="pt-BR"/>
        </w:rPr>
        <w:t>. .</w:t>
      </w:r>
      <w:proofErr w:type="gramEnd"/>
      <w:r>
        <w:rPr>
          <w:sz w:val="20"/>
          <w:szCs w:val="20"/>
          <w:lang w:val="pt-BR"/>
        </w:rPr>
        <w:t xml:space="preserve"> </w:t>
      </w:r>
      <w:r>
        <w:rPr>
          <w:rFonts w:eastAsia="Segoe UI"/>
          <w:sz w:val="20"/>
          <w:szCs w:val="20"/>
          <w:lang w:val="pt-BR"/>
        </w:rPr>
        <w:t>Acesso em: 1o out. 2025.</w:t>
      </w:r>
    </w:p>
    <w:p w14:paraId="1BE418CD" w14:textId="77777777" w:rsidR="0003312E" w:rsidRDefault="00000000">
      <w:pPr>
        <w:pStyle w:val="NormalWeb"/>
        <w:numPr>
          <w:ilvl w:val="0"/>
          <w:numId w:val="13"/>
        </w:numPr>
        <w:spacing w:beforeAutospacing="0" w:after="0" w:afterAutospacing="0" w:line="240" w:lineRule="auto"/>
        <w:ind w:left="0" w:firstLine="0"/>
        <w:jc w:val="both"/>
        <w:rPr>
          <w:rFonts w:eastAsia="Segoe UI"/>
          <w:sz w:val="20"/>
          <w:szCs w:val="20"/>
          <w:lang w:val="pt-BR"/>
        </w:rPr>
      </w:pPr>
      <w:r>
        <w:rPr>
          <w:rFonts w:eastAsia="Segoe UI"/>
          <w:sz w:val="20"/>
          <w:szCs w:val="20"/>
          <w:lang w:val="pt-BR"/>
        </w:rPr>
        <w:t xml:space="preserve">CASERTANO, Giovanni. I </w:t>
      </w:r>
      <w:proofErr w:type="spellStart"/>
      <w:r>
        <w:rPr>
          <w:rFonts w:eastAsia="Segoe UI"/>
          <w:sz w:val="20"/>
          <w:szCs w:val="20"/>
          <w:lang w:val="pt-BR"/>
        </w:rPr>
        <w:t>Logistikon</w:t>
      </w:r>
      <w:proofErr w:type="spellEnd"/>
      <w:r>
        <w:rPr>
          <w:rFonts w:eastAsia="Segoe UI"/>
          <w:sz w:val="20"/>
          <w:szCs w:val="20"/>
          <w:lang w:val="pt-BR"/>
        </w:rPr>
        <w:t xml:space="preserve">, </w:t>
      </w:r>
      <w:proofErr w:type="spellStart"/>
      <w:r>
        <w:rPr>
          <w:rFonts w:eastAsia="Segoe UI"/>
          <w:sz w:val="20"/>
          <w:szCs w:val="20"/>
          <w:lang w:val="pt-BR"/>
        </w:rPr>
        <w:t>thymos</w:t>
      </w:r>
      <w:proofErr w:type="spellEnd"/>
      <w:r>
        <w:rPr>
          <w:rFonts w:eastAsia="Segoe UI"/>
          <w:sz w:val="20"/>
          <w:szCs w:val="20"/>
          <w:lang w:val="pt-BR"/>
        </w:rPr>
        <w:t xml:space="preserve"> </w:t>
      </w:r>
      <w:proofErr w:type="spellStart"/>
      <w:r>
        <w:rPr>
          <w:rFonts w:eastAsia="Segoe UI"/>
          <w:sz w:val="20"/>
          <w:szCs w:val="20"/>
          <w:lang w:val="pt-BR"/>
        </w:rPr>
        <w:t>and</w:t>
      </w:r>
      <w:proofErr w:type="spellEnd"/>
      <w:r>
        <w:rPr>
          <w:rFonts w:eastAsia="Segoe UI"/>
          <w:sz w:val="20"/>
          <w:szCs w:val="20"/>
          <w:lang w:val="pt-BR"/>
        </w:rPr>
        <w:t xml:space="preserve"> </w:t>
      </w:r>
      <w:proofErr w:type="spellStart"/>
      <w:r>
        <w:rPr>
          <w:rFonts w:eastAsia="Segoe UI"/>
          <w:sz w:val="20"/>
          <w:szCs w:val="20"/>
          <w:lang w:val="pt-BR"/>
        </w:rPr>
        <w:t>epithymia</w:t>
      </w:r>
      <w:proofErr w:type="spellEnd"/>
      <w:r>
        <w:rPr>
          <w:rFonts w:eastAsia="Segoe UI"/>
          <w:sz w:val="20"/>
          <w:szCs w:val="20"/>
          <w:lang w:val="pt-BR"/>
        </w:rPr>
        <w:t xml:space="preserve"> </w:t>
      </w:r>
      <w:proofErr w:type="spellStart"/>
      <w:r>
        <w:rPr>
          <w:rFonts w:eastAsia="Segoe UI"/>
          <w:sz w:val="20"/>
          <w:szCs w:val="20"/>
          <w:lang w:val="pt-BR"/>
        </w:rPr>
        <w:t>before</w:t>
      </w:r>
      <w:proofErr w:type="spellEnd"/>
      <w:r>
        <w:rPr>
          <w:rFonts w:eastAsia="Segoe UI"/>
          <w:sz w:val="20"/>
          <w:szCs w:val="20"/>
          <w:lang w:val="pt-BR"/>
        </w:rPr>
        <w:t xml:space="preserve"> </w:t>
      </w:r>
      <w:proofErr w:type="spellStart"/>
      <w:r>
        <w:rPr>
          <w:rFonts w:eastAsia="Segoe UI"/>
          <w:sz w:val="20"/>
          <w:szCs w:val="20"/>
          <w:lang w:val="pt-BR"/>
        </w:rPr>
        <w:t>Plato</w:t>
      </w:r>
      <w:proofErr w:type="spellEnd"/>
      <w:r>
        <w:rPr>
          <w:rFonts w:eastAsia="Segoe UI"/>
          <w:sz w:val="20"/>
          <w:szCs w:val="20"/>
          <w:lang w:val="pt-BR"/>
        </w:rPr>
        <w:t xml:space="preserve">. </w:t>
      </w:r>
      <w:proofErr w:type="spellStart"/>
      <w:r>
        <w:rPr>
          <w:rFonts w:eastAsia="Segoe UI"/>
          <w:i/>
          <w:iCs/>
          <w:sz w:val="20"/>
          <w:szCs w:val="20"/>
          <w:lang w:val="pt-BR"/>
        </w:rPr>
        <w:t>Archai</w:t>
      </w:r>
      <w:proofErr w:type="spellEnd"/>
      <w:r>
        <w:rPr>
          <w:rFonts w:eastAsia="Segoe UI"/>
          <w:i/>
          <w:iCs/>
          <w:sz w:val="20"/>
          <w:szCs w:val="20"/>
          <w:lang w:val="pt-BR"/>
        </w:rPr>
        <w:t>: Revista de Estudos sobre as Origens do Pensamento Ocidental</w:t>
      </w:r>
      <w:r>
        <w:rPr>
          <w:rFonts w:eastAsia="Segoe UI"/>
          <w:sz w:val="20"/>
          <w:szCs w:val="20"/>
          <w:lang w:val="pt-BR"/>
        </w:rPr>
        <w:t xml:space="preserve">, Coimbra, n. 32, p. 1–15, 2022. </w:t>
      </w:r>
      <w:r>
        <w:rPr>
          <w:rFonts w:ascii="Segoe UI Emoji" w:eastAsia="Segoe UI" w:hAnsi="Segoe UI Emoji" w:cs="Segoe UI Emoji"/>
          <w:sz w:val="20"/>
          <w:szCs w:val="20"/>
          <w:lang w:val="pt-BR"/>
        </w:rPr>
        <w:t>📄</w:t>
      </w:r>
      <w:r>
        <w:rPr>
          <w:rFonts w:eastAsia="Segoe UI"/>
          <w:sz w:val="20"/>
          <w:szCs w:val="20"/>
          <w:lang w:val="pt-BR"/>
        </w:rPr>
        <w:t xml:space="preserve"> Disponível em: https://www.scielo.br/j/archai/a/DWVJNCj3xMGpCgYDfwZdgPQ/?format=pdf. </w:t>
      </w:r>
      <w:r>
        <w:rPr>
          <w:rFonts w:ascii="Segoe UI Emoji" w:eastAsia="Segoe UI" w:hAnsi="Segoe UI Emoji" w:cs="Segoe UI Emoji"/>
          <w:sz w:val="20"/>
          <w:szCs w:val="20"/>
          <w:lang w:val="pt-BR"/>
        </w:rPr>
        <w:t>🔗</w:t>
      </w:r>
      <w:r>
        <w:rPr>
          <w:rFonts w:eastAsia="Segoe UI"/>
          <w:sz w:val="20"/>
          <w:szCs w:val="20"/>
          <w:lang w:val="pt-BR"/>
        </w:rPr>
        <w:t xml:space="preserve"> Página do artigo: https://www.scielo.br/j/archai/a/DWVJNCj3xMGpCgYDfwZdgPQ </w:t>
      </w:r>
    </w:p>
    <w:p w14:paraId="1898211B" w14:textId="77777777" w:rsidR="0003312E" w:rsidRDefault="00000000">
      <w:pPr>
        <w:pStyle w:val="NormalWeb"/>
        <w:numPr>
          <w:ilvl w:val="0"/>
          <w:numId w:val="13"/>
        </w:numPr>
        <w:spacing w:beforeAutospacing="0" w:after="0" w:afterAutospacing="0" w:line="240" w:lineRule="auto"/>
        <w:ind w:left="0" w:firstLine="0"/>
        <w:jc w:val="both"/>
        <w:rPr>
          <w:rFonts w:eastAsia="Segoe UI"/>
          <w:sz w:val="20"/>
          <w:szCs w:val="20"/>
          <w:lang w:val="pt-BR"/>
        </w:rPr>
      </w:pPr>
      <w:r>
        <w:rPr>
          <w:rFonts w:eastAsia="Segoe UI"/>
          <w:sz w:val="20"/>
          <w:szCs w:val="20"/>
          <w:lang w:val="pt-BR"/>
        </w:rPr>
        <w:t xml:space="preserve">DECEL - </w:t>
      </w:r>
      <w:proofErr w:type="spellStart"/>
      <w:r>
        <w:rPr>
          <w:rFonts w:eastAsia="Segoe UI"/>
          <w:sz w:val="20"/>
          <w:szCs w:val="20"/>
          <w:lang w:val="pt-BR"/>
        </w:rPr>
        <w:t>Diccionario</w:t>
      </w:r>
      <w:proofErr w:type="spellEnd"/>
      <w:r>
        <w:rPr>
          <w:rFonts w:eastAsia="Segoe UI"/>
          <w:sz w:val="20"/>
          <w:szCs w:val="20"/>
          <w:lang w:val="pt-BR"/>
        </w:rPr>
        <w:t xml:space="preserve"> Etimológico Castellano </w:t>
      </w:r>
      <w:proofErr w:type="spellStart"/>
      <w:r>
        <w:rPr>
          <w:rFonts w:eastAsia="Segoe UI"/>
          <w:sz w:val="20"/>
          <w:szCs w:val="20"/>
          <w:lang w:val="pt-BR"/>
        </w:rPr>
        <w:t>En</w:t>
      </w:r>
      <w:proofErr w:type="spellEnd"/>
      <w:r>
        <w:rPr>
          <w:rFonts w:eastAsia="Segoe UI"/>
          <w:sz w:val="20"/>
          <w:szCs w:val="20"/>
          <w:lang w:val="pt-BR"/>
        </w:rPr>
        <w:t xml:space="preserve"> Línea. Disponível em: &lt;https://etimologias.dechile.net/?eutimia&gt;.  Acesso em: 1o out. 2025. </w:t>
      </w:r>
    </w:p>
    <w:p w14:paraId="1F3AB7DE" w14:textId="77777777" w:rsidR="0003312E" w:rsidRDefault="00000000">
      <w:pPr>
        <w:pStyle w:val="NormalWeb"/>
        <w:numPr>
          <w:ilvl w:val="0"/>
          <w:numId w:val="13"/>
        </w:numPr>
        <w:spacing w:beforeAutospacing="0" w:after="0" w:afterAutospacing="0" w:line="240" w:lineRule="auto"/>
        <w:ind w:left="0" w:firstLine="0"/>
        <w:jc w:val="both"/>
        <w:rPr>
          <w:rFonts w:eastAsia="Segoe UI"/>
          <w:sz w:val="20"/>
          <w:szCs w:val="20"/>
          <w:lang w:val="pt-BR"/>
        </w:rPr>
      </w:pPr>
      <w:r>
        <w:rPr>
          <w:rFonts w:eastAsia="Segoe UI"/>
          <w:sz w:val="20"/>
          <w:szCs w:val="20"/>
        </w:rPr>
        <w:t xml:space="preserve">FAVA, G.; BECCARINI, C.; CAVALLINI, F. The concept of euthymia: A review of its evolution and clinical implications. </w:t>
      </w:r>
      <w:proofErr w:type="spellStart"/>
      <w:r>
        <w:rPr>
          <w:rFonts w:eastAsia="Segoe UI"/>
          <w:i/>
          <w:iCs/>
          <w:sz w:val="20"/>
          <w:szCs w:val="20"/>
          <w:lang w:val="pt-BR"/>
        </w:rPr>
        <w:t>Psychotherapy</w:t>
      </w:r>
      <w:proofErr w:type="spellEnd"/>
      <w:r>
        <w:rPr>
          <w:rFonts w:eastAsia="Segoe UI"/>
          <w:i/>
          <w:iCs/>
          <w:sz w:val="20"/>
          <w:szCs w:val="20"/>
          <w:lang w:val="pt-BR"/>
        </w:rPr>
        <w:t xml:space="preserve"> </w:t>
      </w:r>
      <w:proofErr w:type="spellStart"/>
      <w:r>
        <w:rPr>
          <w:rFonts w:eastAsia="Segoe UI"/>
          <w:i/>
          <w:iCs/>
          <w:sz w:val="20"/>
          <w:szCs w:val="20"/>
          <w:lang w:val="pt-BR"/>
        </w:rPr>
        <w:t>and</w:t>
      </w:r>
      <w:proofErr w:type="spellEnd"/>
      <w:r>
        <w:rPr>
          <w:rFonts w:eastAsia="Segoe UI"/>
          <w:i/>
          <w:iCs/>
          <w:sz w:val="20"/>
          <w:szCs w:val="20"/>
          <w:lang w:val="pt-BR"/>
        </w:rPr>
        <w:t xml:space="preserve"> </w:t>
      </w:r>
      <w:proofErr w:type="spellStart"/>
      <w:r>
        <w:rPr>
          <w:rFonts w:eastAsia="Segoe UI"/>
          <w:i/>
          <w:iCs/>
          <w:sz w:val="20"/>
          <w:szCs w:val="20"/>
          <w:lang w:val="pt-BR"/>
        </w:rPr>
        <w:t>Psychosomatics</w:t>
      </w:r>
      <w:proofErr w:type="spellEnd"/>
      <w:r>
        <w:rPr>
          <w:rFonts w:eastAsia="Segoe UI"/>
          <w:sz w:val="20"/>
          <w:szCs w:val="20"/>
          <w:lang w:val="pt-BR"/>
        </w:rPr>
        <w:t>, v. 90, n. 1, p. 1 - 9, 2021. Disponível em: &lt;https://www.karger.com/</w:t>
      </w:r>
      <w:proofErr w:type="spellStart"/>
      <w:r>
        <w:rPr>
          <w:rFonts w:eastAsia="Segoe UI"/>
          <w:sz w:val="20"/>
          <w:szCs w:val="20"/>
          <w:lang w:val="pt-BR"/>
        </w:rPr>
        <w:t>Article</w:t>
      </w:r>
      <w:proofErr w:type="spellEnd"/>
      <w:r>
        <w:rPr>
          <w:rFonts w:eastAsia="Segoe UI"/>
          <w:sz w:val="20"/>
          <w:szCs w:val="20"/>
          <w:lang w:val="pt-BR"/>
        </w:rPr>
        <w:t xml:space="preserve">/PDF/511215&gt;.  Acesso em: 1o out. 2025.  </w:t>
      </w:r>
    </w:p>
    <w:p w14:paraId="2AAC75D3" w14:textId="77777777" w:rsidR="0003312E" w:rsidRDefault="00000000">
      <w:pPr>
        <w:pStyle w:val="NormalWeb"/>
        <w:numPr>
          <w:ilvl w:val="0"/>
          <w:numId w:val="13"/>
        </w:numPr>
        <w:spacing w:beforeAutospacing="0" w:after="0" w:afterAutospacing="0" w:line="240" w:lineRule="auto"/>
        <w:ind w:left="0" w:firstLine="0"/>
        <w:jc w:val="both"/>
        <w:rPr>
          <w:rFonts w:eastAsia="Segoe UI"/>
          <w:sz w:val="20"/>
          <w:szCs w:val="20"/>
          <w:lang w:val="pt-BR"/>
        </w:rPr>
      </w:pPr>
      <w:r>
        <w:rPr>
          <w:rFonts w:eastAsia="Segoe UI"/>
          <w:sz w:val="20"/>
          <w:szCs w:val="20"/>
        </w:rPr>
        <w:t xml:space="preserve">FAVA, Giovanni A.; GUIDI, Jenny. The pursuit of euthymia. World Psychiatry, [S. l.], v. 19, n. 1, p. 40-50, </w:t>
      </w:r>
      <w:proofErr w:type="spellStart"/>
      <w:r>
        <w:rPr>
          <w:rFonts w:eastAsia="Segoe UI"/>
          <w:sz w:val="20"/>
          <w:szCs w:val="20"/>
        </w:rPr>
        <w:t>jan.</w:t>
      </w:r>
      <w:proofErr w:type="spellEnd"/>
      <w:r>
        <w:rPr>
          <w:rFonts w:eastAsia="Segoe UI"/>
          <w:sz w:val="20"/>
          <w:szCs w:val="20"/>
        </w:rPr>
        <w:t xml:space="preserve"> 2020. </w:t>
      </w:r>
      <w:r>
        <w:rPr>
          <w:rFonts w:eastAsia="Segoe UI"/>
          <w:sz w:val="20"/>
          <w:szCs w:val="20"/>
          <w:lang w:val="pt-BR"/>
        </w:rPr>
        <w:t xml:space="preserve">DOI: 10.1002/wps.20698. Disponível em: </w:t>
      </w:r>
      <w:hyperlink r:id="rId105" w:history="1">
        <w:r>
          <w:rPr>
            <w:rStyle w:val="Hyperlink"/>
            <w:rFonts w:eastAsia="Segoe UI"/>
            <w:color w:val="auto"/>
            <w:sz w:val="20"/>
            <w:szCs w:val="20"/>
            <w:lang w:val="pt-BR"/>
          </w:rPr>
          <w:t>https://onlinelibrary.wiley.com/doi/full/10.1002/wps.20698</w:t>
        </w:r>
      </w:hyperlink>
      <w:r>
        <w:rPr>
          <w:rFonts w:eastAsia="Segoe UI"/>
          <w:sz w:val="20"/>
          <w:szCs w:val="20"/>
          <w:lang w:val="pt-BR"/>
        </w:rPr>
        <w:t>. Acesso em: 18 set. 2025.</w:t>
      </w:r>
    </w:p>
    <w:p w14:paraId="3530DFA4" w14:textId="77777777" w:rsidR="0003312E" w:rsidRDefault="00000000">
      <w:pPr>
        <w:pStyle w:val="NormalWeb"/>
        <w:numPr>
          <w:ilvl w:val="0"/>
          <w:numId w:val="13"/>
        </w:numPr>
        <w:spacing w:beforeAutospacing="0" w:after="0" w:afterAutospacing="0" w:line="240" w:lineRule="auto"/>
        <w:ind w:left="0" w:firstLine="0"/>
        <w:jc w:val="both"/>
        <w:rPr>
          <w:rFonts w:eastAsia="Segoe UI"/>
          <w:sz w:val="20"/>
          <w:szCs w:val="20"/>
          <w:lang w:val="pt-BR"/>
        </w:rPr>
      </w:pPr>
      <w:r>
        <w:rPr>
          <w:rFonts w:eastAsia="Segoe UI"/>
          <w:sz w:val="20"/>
          <w:szCs w:val="20"/>
        </w:rPr>
        <w:t xml:space="preserve">FAVA, Giovanni. A.; BECH, Per. The concept of euthymia. Psychotherapy and Psychosomatics, [S. l.], v. 85, p. 1-5, 2016. </w:t>
      </w:r>
      <w:r>
        <w:rPr>
          <w:rFonts w:eastAsia="Segoe UI"/>
          <w:sz w:val="20"/>
          <w:szCs w:val="20"/>
          <w:lang w:val="pt-BR"/>
        </w:rPr>
        <w:t xml:space="preserve">DOI: 10.1159/000441244. Disponível em: </w:t>
      </w:r>
      <w:hyperlink r:id="rId106" w:history="1">
        <w:r>
          <w:rPr>
            <w:rStyle w:val="Hyperlink"/>
            <w:rFonts w:eastAsia="Segoe UI"/>
            <w:color w:val="auto"/>
            <w:sz w:val="20"/>
            <w:szCs w:val="20"/>
            <w:lang w:val="pt-BR"/>
          </w:rPr>
          <w:t>https://www.karger.com/Article/Abstract/441244</w:t>
        </w:r>
      </w:hyperlink>
      <w:r>
        <w:rPr>
          <w:rFonts w:eastAsia="Segoe UI"/>
          <w:sz w:val="20"/>
          <w:szCs w:val="20"/>
          <w:lang w:val="pt-BR"/>
        </w:rPr>
        <w:t>. Acesso em: 18 set. 2025.</w:t>
      </w:r>
    </w:p>
    <w:p w14:paraId="2F007510" w14:textId="77777777" w:rsidR="0003312E" w:rsidRDefault="00000000">
      <w:pPr>
        <w:pStyle w:val="NormalWeb"/>
        <w:numPr>
          <w:ilvl w:val="0"/>
          <w:numId w:val="13"/>
        </w:numPr>
        <w:spacing w:beforeAutospacing="0" w:after="0" w:afterAutospacing="0" w:line="240" w:lineRule="auto"/>
        <w:ind w:left="0" w:firstLine="0"/>
        <w:jc w:val="both"/>
        <w:rPr>
          <w:rFonts w:eastAsia="Segoe UI"/>
          <w:sz w:val="20"/>
          <w:szCs w:val="20"/>
          <w:lang w:val="pt-BR"/>
        </w:rPr>
      </w:pPr>
      <w:r>
        <w:rPr>
          <w:rFonts w:eastAsia="Segoe UI"/>
          <w:sz w:val="20"/>
          <w:szCs w:val="20"/>
        </w:rPr>
        <w:t xml:space="preserve">GUIDI, Jenny; FAVA, Giovanni A. The Clinical Science of Euthymia: A Conceptual Map. </w:t>
      </w:r>
      <w:proofErr w:type="spellStart"/>
      <w:r>
        <w:rPr>
          <w:rFonts w:eastAsia="Segoe UI"/>
          <w:sz w:val="20"/>
          <w:szCs w:val="20"/>
          <w:lang w:val="pt-BR"/>
        </w:rPr>
        <w:t>Psychotherapy</w:t>
      </w:r>
      <w:proofErr w:type="spellEnd"/>
      <w:r>
        <w:rPr>
          <w:rFonts w:eastAsia="Segoe UI"/>
          <w:sz w:val="20"/>
          <w:szCs w:val="20"/>
          <w:lang w:val="pt-BR"/>
        </w:rPr>
        <w:t xml:space="preserve"> </w:t>
      </w:r>
      <w:proofErr w:type="spellStart"/>
      <w:r>
        <w:rPr>
          <w:rFonts w:eastAsia="Segoe UI"/>
          <w:sz w:val="20"/>
          <w:szCs w:val="20"/>
          <w:lang w:val="pt-BR"/>
        </w:rPr>
        <w:t>and</w:t>
      </w:r>
      <w:proofErr w:type="spellEnd"/>
      <w:r>
        <w:rPr>
          <w:rFonts w:eastAsia="Segoe UI"/>
          <w:sz w:val="20"/>
          <w:szCs w:val="20"/>
          <w:lang w:val="pt-BR"/>
        </w:rPr>
        <w:t xml:space="preserve"> </w:t>
      </w:r>
      <w:proofErr w:type="spellStart"/>
      <w:r>
        <w:rPr>
          <w:rFonts w:eastAsia="Segoe UI"/>
          <w:sz w:val="20"/>
          <w:szCs w:val="20"/>
          <w:lang w:val="pt-BR"/>
        </w:rPr>
        <w:t>Psychosomatics</w:t>
      </w:r>
      <w:proofErr w:type="spellEnd"/>
      <w:r>
        <w:rPr>
          <w:rFonts w:eastAsia="Segoe UI"/>
          <w:sz w:val="20"/>
          <w:szCs w:val="20"/>
          <w:lang w:val="pt-BR"/>
        </w:rPr>
        <w:t xml:space="preserve">, [S. l.], v. 91, n. 3, p. 156-167, 2022. DOI: 10.1159/000524279. Disponível em: </w:t>
      </w:r>
      <w:hyperlink r:id="rId107" w:history="1">
        <w:r>
          <w:rPr>
            <w:rStyle w:val="Hyperlink"/>
            <w:rFonts w:eastAsia="Segoe UI"/>
            <w:color w:val="auto"/>
            <w:sz w:val="20"/>
            <w:szCs w:val="20"/>
            <w:lang w:val="pt-BR"/>
          </w:rPr>
          <w:t>https://karger.com/pps/article/91/3/156/824788/The-Clinical-Science-of-Euthymia-A-Conceptual-Map</w:t>
        </w:r>
      </w:hyperlink>
      <w:r>
        <w:rPr>
          <w:rFonts w:eastAsia="Segoe UI"/>
          <w:sz w:val="20"/>
          <w:szCs w:val="20"/>
          <w:lang w:val="pt-BR"/>
        </w:rPr>
        <w:t>. Acesso em: 18 set. 2025.</w:t>
      </w:r>
    </w:p>
    <w:p w14:paraId="3F97C286" w14:textId="77777777" w:rsidR="0003312E" w:rsidRDefault="00000000">
      <w:pPr>
        <w:pStyle w:val="NormalWeb"/>
        <w:numPr>
          <w:ilvl w:val="0"/>
          <w:numId w:val="13"/>
        </w:numPr>
        <w:spacing w:beforeAutospacing="0" w:after="0" w:afterAutospacing="0" w:line="240" w:lineRule="auto"/>
        <w:ind w:left="0" w:firstLine="0"/>
        <w:jc w:val="both"/>
        <w:rPr>
          <w:rFonts w:eastAsia="Segoe UI"/>
          <w:sz w:val="20"/>
          <w:szCs w:val="20"/>
          <w:lang w:val="pt-BR"/>
        </w:rPr>
      </w:pPr>
      <w:r>
        <w:rPr>
          <w:rFonts w:eastAsia="Segoe UI"/>
          <w:sz w:val="20"/>
          <w:szCs w:val="20"/>
          <w:lang w:val="pt-BR"/>
        </w:rPr>
        <w:t xml:space="preserve">PEIXOTO, Miriam Campolina Diniz. </w:t>
      </w:r>
      <w:r>
        <w:rPr>
          <w:rFonts w:eastAsia="Segoe UI"/>
          <w:i/>
          <w:iCs/>
          <w:sz w:val="20"/>
          <w:szCs w:val="20"/>
          <w:lang w:val="pt-BR"/>
        </w:rPr>
        <w:t>A medida do bom ânimo (</w:t>
      </w:r>
      <w:proofErr w:type="spellStart"/>
      <w:r>
        <w:rPr>
          <w:rFonts w:eastAsia="Segoe UI"/>
          <w:i/>
          <w:iCs/>
          <w:sz w:val="20"/>
          <w:szCs w:val="20"/>
          <w:lang w:val="pt-BR"/>
        </w:rPr>
        <w:t>euthumia</w:t>
      </w:r>
      <w:proofErr w:type="spellEnd"/>
      <w:r>
        <w:rPr>
          <w:rFonts w:eastAsia="Segoe UI"/>
          <w:i/>
          <w:iCs/>
          <w:sz w:val="20"/>
          <w:szCs w:val="20"/>
          <w:lang w:val="pt-BR"/>
        </w:rPr>
        <w:t>) no quadro da reflexão ética de Demócrito</w:t>
      </w:r>
      <w:r>
        <w:rPr>
          <w:rFonts w:eastAsia="Segoe UI"/>
          <w:sz w:val="20"/>
          <w:szCs w:val="20"/>
          <w:lang w:val="pt-BR"/>
        </w:rPr>
        <w:t xml:space="preserve">. </w:t>
      </w:r>
      <w:proofErr w:type="spellStart"/>
      <w:r>
        <w:rPr>
          <w:rFonts w:eastAsia="Segoe UI"/>
          <w:sz w:val="20"/>
          <w:szCs w:val="20"/>
          <w:lang w:val="pt-BR"/>
        </w:rPr>
        <w:t>Nuntius</w:t>
      </w:r>
      <w:proofErr w:type="spellEnd"/>
      <w:r>
        <w:rPr>
          <w:rFonts w:eastAsia="Segoe UI"/>
          <w:sz w:val="20"/>
          <w:szCs w:val="20"/>
          <w:lang w:val="pt-BR"/>
        </w:rPr>
        <w:t xml:space="preserve"> </w:t>
      </w:r>
      <w:proofErr w:type="spellStart"/>
      <w:r>
        <w:rPr>
          <w:rFonts w:eastAsia="Segoe UI"/>
          <w:sz w:val="20"/>
          <w:szCs w:val="20"/>
          <w:lang w:val="pt-BR"/>
        </w:rPr>
        <w:t>Antiquus</w:t>
      </w:r>
      <w:proofErr w:type="spellEnd"/>
      <w:r>
        <w:rPr>
          <w:rFonts w:eastAsia="Segoe UI"/>
          <w:sz w:val="20"/>
          <w:szCs w:val="20"/>
          <w:lang w:val="pt-BR"/>
        </w:rPr>
        <w:t xml:space="preserve">, Belo Horizonte, v. 20, n. 1, p. 1 - 18, jan./jun. 2024. Disponível em: https://periodicos.ufmg.br/index.php/nuntius_antiquus/article/view/56172.  Acesso em: 1o out. 2025. </w:t>
      </w:r>
    </w:p>
    <w:p w14:paraId="3C0E751B" w14:textId="77777777" w:rsidR="0003312E" w:rsidRDefault="00000000">
      <w:pPr>
        <w:pStyle w:val="NormalWeb"/>
        <w:numPr>
          <w:ilvl w:val="0"/>
          <w:numId w:val="13"/>
        </w:numPr>
        <w:spacing w:beforeAutospacing="0" w:after="0" w:afterAutospacing="0" w:line="240" w:lineRule="auto"/>
        <w:ind w:left="0" w:firstLine="0"/>
        <w:jc w:val="both"/>
        <w:rPr>
          <w:rFonts w:eastAsia="Segoe UI"/>
          <w:sz w:val="20"/>
          <w:szCs w:val="20"/>
          <w:lang w:val="pt-BR"/>
        </w:rPr>
      </w:pPr>
      <w:r>
        <w:rPr>
          <w:rFonts w:eastAsia="Segoe UI"/>
          <w:sz w:val="20"/>
          <w:szCs w:val="20"/>
        </w:rPr>
        <w:t xml:space="preserve">ROCHA, P. M.; CORREA, H. Is it time for psychiatry to discuss consensus criteria for euthymia? Clinical, methodological, research, and ethical perspectives. Brazilian Journal of Psychiatry, [S. l.], v. 41, n. 2, p. 97-98, mar./abr. 2019. </w:t>
      </w:r>
      <w:r>
        <w:rPr>
          <w:rFonts w:eastAsia="Segoe UI"/>
          <w:sz w:val="20"/>
          <w:szCs w:val="20"/>
          <w:lang w:val="pt-BR"/>
        </w:rPr>
        <w:t xml:space="preserve">DOI: 10.1590/1516-4446-2018-0221. Disponível em: </w:t>
      </w:r>
      <w:hyperlink r:id="rId108" w:history="1">
        <w:r>
          <w:rPr>
            <w:rStyle w:val="Hyperlink"/>
            <w:rFonts w:eastAsia="Segoe UI"/>
            <w:color w:val="auto"/>
            <w:sz w:val="20"/>
            <w:szCs w:val="20"/>
            <w:lang w:val="pt-BR"/>
          </w:rPr>
          <w:t>https://www.bjp.org.br/details/297/en-US/is-it-time-for-psychiatry-to-discuss-consensus-criteria-for-euthymia--clinical--methodological--research--and-ethical-perspectives</w:t>
        </w:r>
      </w:hyperlink>
      <w:r>
        <w:rPr>
          <w:rFonts w:eastAsia="Segoe UI"/>
          <w:sz w:val="20"/>
          <w:szCs w:val="20"/>
          <w:lang w:val="pt-BR"/>
        </w:rPr>
        <w:t>. Acesso em: 18 set. 2025.</w:t>
      </w:r>
    </w:p>
    <w:p w14:paraId="11AF7244" w14:textId="77777777" w:rsidR="0003312E" w:rsidRDefault="0003312E">
      <w:pPr>
        <w:pStyle w:val="NormalWeb"/>
        <w:spacing w:beforeAutospacing="0" w:after="0" w:afterAutospacing="0" w:line="240" w:lineRule="auto"/>
        <w:jc w:val="both"/>
        <w:rPr>
          <w:rFonts w:eastAsia="Segoe UI"/>
          <w:sz w:val="20"/>
          <w:szCs w:val="20"/>
          <w:lang w:val="pt-BR"/>
        </w:rPr>
      </w:pPr>
    </w:p>
    <w:p w14:paraId="12BF4BEF" w14:textId="77777777" w:rsidR="0003312E" w:rsidRDefault="00000000">
      <w:pPr>
        <w:pStyle w:val="NormalWeb"/>
        <w:shd w:val="clear" w:color="auto" w:fill="FFFFFF"/>
        <w:spacing w:beforeAutospacing="0" w:after="0" w:afterAutospacing="0" w:line="360" w:lineRule="auto"/>
        <w:ind w:firstLineChars="225" w:firstLine="452"/>
        <w:jc w:val="both"/>
        <w:rPr>
          <w:b/>
          <w:bCs/>
          <w:sz w:val="20"/>
          <w:szCs w:val="20"/>
          <w:lang w:val="pt-BR"/>
        </w:rPr>
      </w:pPr>
      <w:r>
        <w:rPr>
          <w:b/>
          <w:bCs/>
          <w:sz w:val="20"/>
          <w:szCs w:val="20"/>
          <w:lang w:val="pt-BR"/>
        </w:rPr>
        <w:t>Capítulo E</w:t>
      </w:r>
    </w:p>
    <w:p w14:paraId="4FD0D043" w14:textId="77777777" w:rsidR="0003312E" w:rsidRDefault="00000000">
      <w:pPr>
        <w:pStyle w:val="NormalWeb"/>
        <w:numPr>
          <w:ilvl w:val="0"/>
          <w:numId w:val="14"/>
        </w:numPr>
        <w:shd w:val="clear" w:color="auto" w:fill="FFFFFF"/>
        <w:spacing w:beforeAutospacing="0" w:after="0" w:afterAutospacing="0" w:line="360" w:lineRule="auto"/>
        <w:jc w:val="both"/>
        <w:rPr>
          <w:rFonts w:eastAsia="Segoe UI"/>
          <w:sz w:val="20"/>
          <w:szCs w:val="20"/>
          <w:lang w:val="pt-BR"/>
        </w:rPr>
      </w:pPr>
      <w:r>
        <w:rPr>
          <w:rStyle w:val="Forte"/>
          <w:b w:val="0"/>
          <w:bCs w:val="0"/>
          <w:sz w:val="20"/>
          <w:szCs w:val="20"/>
          <w:lang w:val="pt-BR"/>
        </w:rPr>
        <w:t>ENCYCLOPÆDIA BRITANNICA.</w:t>
      </w:r>
      <w:r>
        <w:rPr>
          <w:sz w:val="20"/>
          <w:szCs w:val="20"/>
          <w:lang w:val="pt-BR"/>
        </w:rPr>
        <w:t xml:space="preserve"> Oliver Sacks. </w:t>
      </w:r>
      <w:proofErr w:type="spellStart"/>
      <w:r>
        <w:rPr>
          <w:rStyle w:val="nfase"/>
          <w:sz w:val="20"/>
          <w:szCs w:val="20"/>
          <w:lang w:val="pt-BR"/>
        </w:rPr>
        <w:t>Encyclopædia</w:t>
      </w:r>
      <w:proofErr w:type="spellEnd"/>
      <w:r>
        <w:rPr>
          <w:rStyle w:val="nfase"/>
          <w:sz w:val="20"/>
          <w:szCs w:val="20"/>
          <w:lang w:val="pt-BR"/>
        </w:rPr>
        <w:t xml:space="preserve"> </w:t>
      </w:r>
      <w:proofErr w:type="spellStart"/>
      <w:r>
        <w:rPr>
          <w:rStyle w:val="nfase"/>
          <w:sz w:val="20"/>
          <w:szCs w:val="20"/>
          <w:lang w:val="pt-BR"/>
        </w:rPr>
        <w:t>Britannica</w:t>
      </w:r>
      <w:proofErr w:type="spellEnd"/>
      <w:r>
        <w:rPr>
          <w:sz w:val="20"/>
          <w:szCs w:val="20"/>
          <w:lang w:val="pt-BR"/>
        </w:rPr>
        <w:t xml:space="preserve">. Disponível em: </w:t>
      </w:r>
      <w:hyperlink r:id="rId109" w:history="1">
        <w:r>
          <w:rPr>
            <w:rStyle w:val="Hyperlink"/>
            <w:color w:val="auto"/>
            <w:sz w:val="20"/>
            <w:szCs w:val="20"/>
            <w:u w:val="none"/>
            <w:lang w:val="pt-BR"/>
          </w:rPr>
          <w:t>https://www.britannica.com/biography/Oliver-Sacks.</w:t>
        </w:r>
      </w:hyperlink>
      <w:r>
        <w:rPr>
          <w:sz w:val="20"/>
          <w:szCs w:val="20"/>
          <w:lang w:val="pt-BR"/>
        </w:rPr>
        <w:t xml:space="preserve"> </w:t>
      </w:r>
      <w:r>
        <w:rPr>
          <w:rFonts w:eastAsia="Segoe UI"/>
          <w:sz w:val="20"/>
          <w:szCs w:val="20"/>
          <w:lang w:val="pt-BR"/>
        </w:rPr>
        <w:t xml:space="preserve">Acesso em: 1o out. 2025. </w:t>
      </w:r>
    </w:p>
    <w:p w14:paraId="18D27C46" w14:textId="77777777" w:rsidR="0003312E" w:rsidRDefault="00000000">
      <w:pPr>
        <w:pStyle w:val="NormalWeb"/>
        <w:numPr>
          <w:ilvl w:val="0"/>
          <w:numId w:val="14"/>
        </w:numPr>
        <w:shd w:val="clear" w:color="auto" w:fill="FFFFFF"/>
        <w:spacing w:beforeAutospacing="0" w:after="0" w:afterAutospacing="0" w:line="360" w:lineRule="auto"/>
        <w:jc w:val="both"/>
        <w:rPr>
          <w:rFonts w:eastAsia="Segoe UI"/>
          <w:sz w:val="20"/>
          <w:szCs w:val="20"/>
          <w:lang w:val="pt-BR"/>
        </w:rPr>
      </w:pPr>
      <w:r>
        <w:rPr>
          <w:rStyle w:val="Forte"/>
          <w:b w:val="0"/>
          <w:bCs w:val="0"/>
          <w:sz w:val="20"/>
          <w:szCs w:val="20"/>
          <w:lang w:val="pt-BR"/>
        </w:rPr>
        <w:lastRenderedPageBreak/>
        <w:t>JUNGES FRANTZ, Patrícia.</w:t>
      </w:r>
      <w:r>
        <w:rPr>
          <w:sz w:val="20"/>
          <w:szCs w:val="20"/>
          <w:lang w:val="pt-BR"/>
        </w:rPr>
        <w:t xml:space="preserve"> Filosofia da Medicina segundo Edmund Pellegrino. </w:t>
      </w:r>
      <w:r>
        <w:rPr>
          <w:rStyle w:val="nfase"/>
          <w:sz w:val="20"/>
          <w:szCs w:val="20"/>
          <w:lang w:val="pt-BR"/>
        </w:rPr>
        <w:t xml:space="preserve">Revista </w:t>
      </w:r>
      <w:proofErr w:type="spellStart"/>
      <w:r>
        <w:rPr>
          <w:rStyle w:val="nfase"/>
          <w:sz w:val="20"/>
          <w:szCs w:val="20"/>
          <w:lang w:val="pt-BR"/>
        </w:rPr>
        <w:t>Latinoamericana</w:t>
      </w:r>
      <w:proofErr w:type="spellEnd"/>
      <w:r>
        <w:rPr>
          <w:rStyle w:val="nfase"/>
          <w:sz w:val="20"/>
          <w:szCs w:val="20"/>
          <w:lang w:val="pt-BR"/>
        </w:rPr>
        <w:t xml:space="preserve"> de Bioética</w:t>
      </w:r>
      <w:r>
        <w:rPr>
          <w:sz w:val="20"/>
          <w:szCs w:val="20"/>
          <w:lang w:val="pt-BR"/>
        </w:rPr>
        <w:t xml:space="preserve">, Bogotá, v. 25, n. 1, p. 119–127, 2025. Disponível em: http://www.scielo.org.co/scielo.php?script=sci_arttext&amp;pid=S1657-47022025000100119&amp;lng=en&amp;nrm=iso.  </w:t>
      </w:r>
      <w:r>
        <w:rPr>
          <w:sz w:val="20"/>
          <w:szCs w:val="20"/>
        </w:rPr>
        <w:t xml:space="preserve">2025. DOI: </w:t>
      </w:r>
      <w:hyperlink r:id="rId110" w:history="1">
        <w:r>
          <w:rPr>
            <w:rStyle w:val="Hyperlink"/>
            <w:color w:val="auto"/>
            <w:sz w:val="20"/>
            <w:szCs w:val="20"/>
            <w:u w:val="none"/>
          </w:rPr>
          <w:t>https://doi.org/10.18359/rlbi.7331</w:t>
        </w:r>
      </w:hyperlink>
      <w:r>
        <w:rPr>
          <w:sz w:val="20"/>
          <w:szCs w:val="20"/>
          <w:lang w:val="pt-BR"/>
        </w:rPr>
        <w:t xml:space="preserve"> </w:t>
      </w:r>
      <w:r>
        <w:rPr>
          <w:rFonts w:eastAsia="Segoe UI"/>
          <w:sz w:val="20"/>
          <w:szCs w:val="20"/>
          <w:lang w:val="pt-BR"/>
        </w:rPr>
        <w:t xml:space="preserve">Acesso em: 1o out. 2025. </w:t>
      </w:r>
    </w:p>
    <w:p w14:paraId="5DF64C6A" w14:textId="77777777" w:rsidR="0003312E" w:rsidRDefault="00000000">
      <w:pPr>
        <w:pStyle w:val="NormalWeb"/>
        <w:numPr>
          <w:ilvl w:val="0"/>
          <w:numId w:val="14"/>
        </w:numPr>
        <w:shd w:val="clear" w:color="auto" w:fill="FFFFFF"/>
        <w:spacing w:beforeAutospacing="0" w:after="0" w:afterAutospacing="0" w:line="360" w:lineRule="auto"/>
        <w:jc w:val="both"/>
        <w:rPr>
          <w:rFonts w:eastAsia="Segoe UI"/>
          <w:sz w:val="20"/>
          <w:szCs w:val="20"/>
          <w:lang w:val="pt-BR"/>
        </w:rPr>
      </w:pPr>
      <w:r>
        <w:rPr>
          <w:rStyle w:val="Forte"/>
          <w:b w:val="0"/>
          <w:bCs w:val="0"/>
          <w:sz w:val="20"/>
          <w:szCs w:val="20"/>
        </w:rPr>
        <w:t>NUTTON, Vivian.</w:t>
      </w:r>
      <w:r>
        <w:rPr>
          <w:sz w:val="20"/>
          <w:szCs w:val="20"/>
        </w:rPr>
        <w:t xml:space="preserve"> </w:t>
      </w:r>
      <w:proofErr w:type="spellStart"/>
      <w:r>
        <w:rPr>
          <w:sz w:val="20"/>
          <w:szCs w:val="20"/>
        </w:rPr>
        <w:t>Owsei</w:t>
      </w:r>
      <w:proofErr w:type="spellEnd"/>
      <w:r>
        <w:rPr>
          <w:sz w:val="20"/>
          <w:szCs w:val="20"/>
        </w:rPr>
        <w:t xml:space="preserve"> Temkin (1902–2002). </w:t>
      </w:r>
      <w:r>
        <w:rPr>
          <w:rStyle w:val="nfase"/>
          <w:sz w:val="20"/>
          <w:szCs w:val="20"/>
        </w:rPr>
        <w:t>Medical History</w:t>
      </w:r>
      <w:r>
        <w:rPr>
          <w:sz w:val="20"/>
          <w:szCs w:val="20"/>
        </w:rPr>
        <w:t xml:space="preserve">, v. 47, n. 1, p. 100–103, 2003. </w:t>
      </w:r>
      <w:r>
        <w:rPr>
          <w:sz w:val="20"/>
          <w:szCs w:val="20"/>
          <w:lang w:val="pt-BR"/>
        </w:rPr>
        <w:t xml:space="preserve">Disponível em: https://www.cambridge.org/core/journals/medical-history/article/owsei-temkin-19022002/5A9501F50BB577B560EE0922FC3B4BDD. </w:t>
      </w:r>
      <w:r>
        <w:rPr>
          <w:sz w:val="20"/>
          <w:szCs w:val="20"/>
        </w:rPr>
        <w:t xml:space="preserve">DOI: </w:t>
      </w:r>
      <w:hyperlink r:id="rId111" w:history="1">
        <w:r>
          <w:rPr>
            <w:rStyle w:val="Hyperlink"/>
            <w:color w:val="auto"/>
            <w:sz w:val="20"/>
            <w:szCs w:val="20"/>
            <w:u w:val="none"/>
          </w:rPr>
          <w:t>https://doi.org/10.1017/S0025727300056398</w:t>
        </w:r>
      </w:hyperlink>
      <w:r>
        <w:rPr>
          <w:sz w:val="20"/>
          <w:szCs w:val="20"/>
          <w:lang w:val="pt-BR"/>
        </w:rPr>
        <w:t xml:space="preserve"> </w:t>
      </w:r>
      <w:r>
        <w:rPr>
          <w:rFonts w:eastAsia="Segoe UI"/>
          <w:sz w:val="20"/>
          <w:szCs w:val="20"/>
          <w:lang w:val="pt-BR"/>
        </w:rPr>
        <w:t xml:space="preserve">Acesso em: 1o out. 2025. </w:t>
      </w:r>
    </w:p>
    <w:p w14:paraId="4CDE672F" w14:textId="77777777" w:rsidR="0003312E" w:rsidRDefault="00000000">
      <w:pPr>
        <w:pStyle w:val="NormalWeb"/>
        <w:numPr>
          <w:ilvl w:val="0"/>
          <w:numId w:val="14"/>
        </w:numPr>
        <w:shd w:val="clear" w:color="auto" w:fill="FFFFFF"/>
        <w:spacing w:beforeAutospacing="0" w:after="0" w:afterAutospacing="0" w:line="360" w:lineRule="auto"/>
        <w:jc w:val="both"/>
        <w:rPr>
          <w:rFonts w:eastAsia="Segoe UI"/>
          <w:sz w:val="20"/>
          <w:szCs w:val="20"/>
          <w:lang w:val="pt-BR"/>
        </w:rPr>
      </w:pPr>
      <w:r>
        <w:rPr>
          <w:rStyle w:val="Forte"/>
          <w:b w:val="0"/>
          <w:bCs w:val="0"/>
          <w:sz w:val="20"/>
          <w:szCs w:val="20"/>
        </w:rPr>
        <w:t>SACKS, Oliver.</w:t>
      </w:r>
      <w:r>
        <w:rPr>
          <w:sz w:val="20"/>
          <w:szCs w:val="20"/>
        </w:rPr>
        <w:t xml:space="preserve"> </w:t>
      </w:r>
      <w:r>
        <w:rPr>
          <w:rStyle w:val="nfase"/>
          <w:sz w:val="20"/>
          <w:szCs w:val="20"/>
        </w:rPr>
        <w:t>Awakenings</w:t>
      </w:r>
      <w:r>
        <w:rPr>
          <w:sz w:val="20"/>
          <w:szCs w:val="20"/>
        </w:rPr>
        <w:t xml:space="preserve">. Nova York: Vintage Books, 1973. </w:t>
      </w:r>
      <w:r>
        <w:rPr>
          <w:sz w:val="20"/>
          <w:szCs w:val="20"/>
          <w:lang w:val="pt-BR"/>
        </w:rPr>
        <w:t xml:space="preserve">Disponível em: </w:t>
      </w:r>
      <w:hyperlink r:id="rId112" w:history="1">
        <w:r>
          <w:rPr>
            <w:rStyle w:val="Hyperlink"/>
            <w:color w:val="auto"/>
            <w:sz w:val="20"/>
            <w:szCs w:val="20"/>
            <w:u w:val="none"/>
            <w:lang w:val="pt-BR"/>
          </w:rPr>
          <w:t>https://virtualmmx.ddns.net/gbooks/Awakenings.pdf</w:t>
        </w:r>
      </w:hyperlink>
      <w:r>
        <w:rPr>
          <w:sz w:val="20"/>
          <w:szCs w:val="20"/>
          <w:lang w:val="pt-BR"/>
        </w:rPr>
        <w:t xml:space="preserve"> </w:t>
      </w:r>
      <w:r>
        <w:rPr>
          <w:rFonts w:eastAsia="Segoe UI"/>
          <w:sz w:val="20"/>
          <w:szCs w:val="20"/>
          <w:lang w:val="pt-BR"/>
        </w:rPr>
        <w:t xml:space="preserve">Acesso em: 1o out. 2025. </w:t>
      </w:r>
    </w:p>
    <w:p w14:paraId="0B294667" w14:textId="77777777" w:rsidR="0003312E" w:rsidRDefault="00000000">
      <w:pPr>
        <w:pStyle w:val="NormalWeb"/>
        <w:numPr>
          <w:ilvl w:val="0"/>
          <w:numId w:val="14"/>
        </w:numPr>
        <w:shd w:val="clear" w:color="auto" w:fill="FFFFFF"/>
        <w:spacing w:beforeAutospacing="0" w:after="0" w:afterAutospacing="0" w:line="360" w:lineRule="auto"/>
        <w:jc w:val="both"/>
        <w:rPr>
          <w:rFonts w:eastAsia="Segoe UI"/>
          <w:sz w:val="20"/>
          <w:szCs w:val="20"/>
          <w:lang w:val="pt-BR"/>
        </w:rPr>
      </w:pPr>
      <w:r>
        <w:rPr>
          <w:rFonts w:eastAsia="Segoe UI"/>
          <w:sz w:val="20"/>
          <w:szCs w:val="20"/>
          <w:shd w:val="clear" w:color="auto" w:fill="FFFFFF"/>
          <w:lang w:val="pt-BR"/>
        </w:rPr>
        <w:t xml:space="preserve">SHARON, Tal; LIN, Zhao Xiang; PALOMERA, </w:t>
      </w:r>
      <w:proofErr w:type="spellStart"/>
      <w:r>
        <w:rPr>
          <w:rFonts w:eastAsia="Segoe UI"/>
          <w:sz w:val="20"/>
          <w:szCs w:val="20"/>
          <w:shd w:val="clear" w:color="auto" w:fill="FFFFFF"/>
          <w:lang w:val="pt-BR"/>
        </w:rPr>
        <w:t>Julio</w:t>
      </w:r>
      <w:proofErr w:type="spellEnd"/>
      <w:r>
        <w:rPr>
          <w:rFonts w:eastAsia="Segoe UI"/>
          <w:sz w:val="20"/>
          <w:szCs w:val="20"/>
          <w:shd w:val="clear" w:color="auto" w:fill="FFFFFF"/>
          <w:lang w:val="pt-BR"/>
        </w:rPr>
        <w:t>; JAIME, Sara; SZERSZEN, Anita. </w:t>
      </w:r>
      <w:r>
        <w:rPr>
          <w:rStyle w:val="Forte"/>
          <w:rFonts w:eastAsia="Segoe UI"/>
          <w:b w:val="0"/>
          <w:bCs w:val="0"/>
          <w:sz w:val="20"/>
          <w:szCs w:val="20"/>
          <w:shd w:val="clear" w:color="auto" w:fill="FFFFFF"/>
        </w:rPr>
        <w:t>Medicine through the lens of humanity: exploring the legacy of Oliver Sacks, the storyteller neurologist</w:t>
      </w:r>
      <w:r>
        <w:rPr>
          <w:rFonts w:eastAsia="Segoe UI"/>
          <w:sz w:val="20"/>
          <w:szCs w:val="20"/>
          <w:shd w:val="clear" w:color="auto" w:fill="FFFFFF"/>
        </w:rPr>
        <w:t xml:space="preserve">. </w:t>
      </w:r>
      <w:proofErr w:type="spellStart"/>
      <w:r>
        <w:rPr>
          <w:rFonts w:eastAsia="Segoe UI"/>
          <w:sz w:val="20"/>
          <w:szCs w:val="20"/>
          <w:shd w:val="clear" w:color="auto" w:fill="FFFFFF"/>
          <w:lang w:val="pt-BR"/>
        </w:rPr>
        <w:t>Cureus</w:t>
      </w:r>
      <w:proofErr w:type="spellEnd"/>
      <w:r>
        <w:rPr>
          <w:rFonts w:eastAsia="Segoe UI"/>
          <w:sz w:val="20"/>
          <w:szCs w:val="20"/>
          <w:shd w:val="clear" w:color="auto" w:fill="FFFFFF"/>
          <w:lang w:val="pt-BR"/>
        </w:rPr>
        <w:t>, [S. l.], v. 16, n. 9, p. e69593, 17 Sep. 2024. DOI: 10.7759/cureus.69593. Disponível em: </w:t>
      </w:r>
      <w:hyperlink r:id="rId113" w:tgtFrame="https://chat.deepseek.com/a/chat/s/_blank" w:history="1">
        <w:r>
          <w:rPr>
            <w:rStyle w:val="Hyperlink"/>
            <w:rFonts w:eastAsia="Segoe UI"/>
            <w:color w:val="auto"/>
            <w:sz w:val="20"/>
            <w:szCs w:val="20"/>
            <w:u w:val="none"/>
            <w:shd w:val="clear" w:color="auto" w:fill="FFFFFF"/>
            <w:lang w:val="pt-BR"/>
          </w:rPr>
          <w:t>https://www.cureus.com/articles/238929-medicine-through-the-lens-of-humanity-exploring-the-legacy-of-oliver-sacks-the-storyteller-neurologist</w:t>
        </w:r>
      </w:hyperlink>
      <w:r>
        <w:rPr>
          <w:rFonts w:eastAsia="Segoe UI"/>
          <w:sz w:val="20"/>
          <w:szCs w:val="20"/>
          <w:shd w:val="clear" w:color="auto" w:fill="FFFFFF"/>
          <w:lang w:val="pt-BR"/>
        </w:rPr>
        <w:t>. </w:t>
      </w:r>
      <w:r>
        <w:rPr>
          <w:rFonts w:eastAsia="Segoe UI"/>
          <w:sz w:val="20"/>
          <w:szCs w:val="20"/>
          <w:lang w:val="pt-BR"/>
        </w:rPr>
        <w:t xml:space="preserve">Acesso em: 1o out. 2025. </w:t>
      </w:r>
    </w:p>
    <w:p w14:paraId="497E861B" w14:textId="77777777" w:rsidR="0003312E" w:rsidRDefault="00000000">
      <w:pPr>
        <w:pStyle w:val="NormalWeb"/>
        <w:numPr>
          <w:ilvl w:val="0"/>
          <w:numId w:val="14"/>
        </w:numPr>
        <w:shd w:val="clear" w:color="auto" w:fill="FFFFFF"/>
        <w:spacing w:beforeAutospacing="0" w:after="0" w:afterAutospacing="0" w:line="360" w:lineRule="auto"/>
        <w:jc w:val="both"/>
        <w:rPr>
          <w:rFonts w:eastAsia="Segoe UI"/>
          <w:sz w:val="20"/>
          <w:szCs w:val="20"/>
          <w:lang w:val="pt-BR"/>
        </w:rPr>
      </w:pPr>
      <w:r>
        <w:rPr>
          <w:rStyle w:val="Forte"/>
          <w:b w:val="0"/>
          <w:bCs w:val="0"/>
          <w:sz w:val="20"/>
          <w:szCs w:val="20"/>
        </w:rPr>
        <w:t xml:space="preserve">TEMKIN, </w:t>
      </w:r>
      <w:proofErr w:type="spellStart"/>
      <w:r>
        <w:rPr>
          <w:rStyle w:val="Forte"/>
          <w:b w:val="0"/>
          <w:bCs w:val="0"/>
          <w:sz w:val="20"/>
          <w:szCs w:val="20"/>
        </w:rPr>
        <w:t>Owsei</w:t>
      </w:r>
      <w:proofErr w:type="spellEnd"/>
      <w:r>
        <w:rPr>
          <w:rStyle w:val="Forte"/>
          <w:b w:val="0"/>
          <w:bCs w:val="0"/>
          <w:sz w:val="20"/>
          <w:szCs w:val="20"/>
        </w:rPr>
        <w:t>.</w:t>
      </w:r>
      <w:r>
        <w:rPr>
          <w:sz w:val="20"/>
          <w:szCs w:val="20"/>
        </w:rPr>
        <w:t xml:space="preserve"> </w:t>
      </w:r>
      <w:r>
        <w:rPr>
          <w:rStyle w:val="nfase"/>
          <w:sz w:val="20"/>
          <w:szCs w:val="20"/>
        </w:rPr>
        <w:t>The Double Face of Janus and Other Essays in the History of Medicine</w:t>
      </w:r>
      <w:r>
        <w:rPr>
          <w:sz w:val="20"/>
          <w:szCs w:val="20"/>
        </w:rPr>
        <w:t xml:space="preserve">. Baltimore: Johns Hopkins University Press, 1977. </w:t>
      </w:r>
      <w:proofErr w:type="spellStart"/>
      <w:r>
        <w:rPr>
          <w:sz w:val="20"/>
          <w:szCs w:val="20"/>
        </w:rPr>
        <w:t>Disponível</w:t>
      </w:r>
      <w:proofErr w:type="spellEnd"/>
      <w:r>
        <w:rPr>
          <w:sz w:val="20"/>
          <w:szCs w:val="20"/>
        </w:rPr>
        <w:t xml:space="preserve"> </w:t>
      </w:r>
      <w:proofErr w:type="spellStart"/>
      <w:r>
        <w:rPr>
          <w:sz w:val="20"/>
          <w:szCs w:val="20"/>
        </w:rPr>
        <w:t>em</w:t>
      </w:r>
      <w:proofErr w:type="spellEnd"/>
      <w:r>
        <w:rPr>
          <w:sz w:val="20"/>
          <w:szCs w:val="20"/>
        </w:rPr>
        <w:t xml:space="preserve">: </w:t>
      </w:r>
      <w:hyperlink r:id="rId114" w:history="1">
        <w:r>
          <w:rPr>
            <w:rStyle w:val="Hyperlink"/>
            <w:color w:val="auto"/>
            <w:sz w:val="20"/>
            <w:szCs w:val="20"/>
            <w:u w:val="none"/>
          </w:rPr>
          <w:t>https://books.google.com.br/books?id=k37WlXxV1X0C</w:t>
        </w:r>
      </w:hyperlink>
      <w:r>
        <w:rPr>
          <w:sz w:val="20"/>
          <w:szCs w:val="20"/>
          <w:lang w:val="pt-BR"/>
        </w:rPr>
        <w:t xml:space="preserve"> </w:t>
      </w:r>
      <w:r>
        <w:rPr>
          <w:rFonts w:eastAsia="Segoe UI"/>
          <w:sz w:val="20"/>
          <w:szCs w:val="20"/>
          <w:lang w:val="pt-BR"/>
        </w:rPr>
        <w:t xml:space="preserve">Acesso em: 1o out. 2025. </w:t>
      </w:r>
    </w:p>
    <w:p w14:paraId="15EB857D" w14:textId="77777777" w:rsidR="0003312E" w:rsidRPr="000D7094" w:rsidRDefault="00000000">
      <w:pPr>
        <w:pStyle w:val="NormalWeb"/>
        <w:numPr>
          <w:ilvl w:val="0"/>
          <w:numId w:val="14"/>
        </w:numPr>
        <w:shd w:val="clear" w:color="auto" w:fill="FFFFFF"/>
        <w:spacing w:beforeAutospacing="0" w:after="0" w:afterAutospacing="0" w:line="360" w:lineRule="auto"/>
        <w:jc w:val="both"/>
        <w:rPr>
          <w:rFonts w:eastAsia="Segoe UI"/>
          <w:sz w:val="20"/>
          <w:szCs w:val="20"/>
          <w:lang w:val="pt-BR"/>
        </w:rPr>
      </w:pPr>
      <w:r>
        <w:rPr>
          <w:rStyle w:val="Forte"/>
          <w:b w:val="0"/>
          <w:bCs w:val="0"/>
          <w:sz w:val="20"/>
          <w:szCs w:val="20"/>
        </w:rPr>
        <w:t xml:space="preserve">TEMKIN, </w:t>
      </w:r>
      <w:proofErr w:type="spellStart"/>
      <w:r>
        <w:rPr>
          <w:rStyle w:val="Forte"/>
          <w:b w:val="0"/>
          <w:bCs w:val="0"/>
          <w:sz w:val="20"/>
          <w:szCs w:val="20"/>
        </w:rPr>
        <w:t>Owsei</w:t>
      </w:r>
      <w:proofErr w:type="spellEnd"/>
      <w:r>
        <w:rPr>
          <w:rStyle w:val="Forte"/>
          <w:b w:val="0"/>
          <w:bCs w:val="0"/>
          <w:sz w:val="20"/>
          <w:szCs w:val="20"/>
        </w:rPr>
        <w:t>.</w:t>
      </w:r>
      <w:r>
        <w:rPr>
          <w:sz w:val="20"/>
          <w:szCs w:val="20"/>
        </w:rPr>
        <w:t xml:space="preserve"> </w:t>
      </w:r>
      <w:r>
        <w:rPr>
          <w:rStyle w:val="nfase"/>
          <w:sz w:val="20"/>
          <w:szCs w:val="20"/>
        </w:rPr>
        <w:t>The Falling Sickness: A History of Epilepsy from the Greeks to the Beginnings of Modern Neurology</w:t>
      </w:r>
      <w:r>
        <w:rPr>
          <w:sz w:val="20"/>
          <w:szCs w:val="20"/>
        </w:rPr>
        <w:t xml:space="preserve">. 2. ed. Baltimore: Johns Hopkins University Press, 1971. </w:t>
      </w:r>
      <w:r w:rsidRPr="000D7094">
        <w:rPr>
          <w:sz w:val="20"/>
          <w:szCs w:val="20"/>
          <w:lang w:val="pt-BR"/>
        </w:rPr>
        <w:t xml:space="preserve">Disponível em: </w:t>
      </w:r>
      <w:hyperlink r:id="rId115" w:history="1">
        <w:r w:rsidRPr="000D7094">
          <w:rPr>
            <w:rStyle w:val="Hyperlink"/>
            <w:color w:val="auto"/>
            <w:sz w:val="20"/>
            <w:szCs w:val="20"/>
            <w:u w:val="none"/>
            <w:lang w:val="pt-BR"/>
          </w:rPr>
          <w:t>https://www.google.com.br/books/edition/The_Falling_Sickness/w33hgy52XKkC</w:t>
        </w:r>
      </w:hyperlink>
      <w:r w:rsidRPr="000D7094">
        <w:rPr>
          <w:sz w:val="20"/>
          <w:szCs w:val="20"/>
          <w:lang w:val="pt-BR"/>
        </w:rPr>
        <w:t xml:space="preserve"> </w:t>
      </w:r>
      <w:r w:rsidRPr="000D7094">
        <w:rPr>
          <w:rFonts w:eastAsia="Segoe UI"/>
          <w:sz w:val="20"/>
          <w:szCs w:val="20"/>
          <w:lang w:val="pt-BR"/>
        </w:rPr>
        <w:t xml:space="preserve">Acesso em: 1o out. 2025. </w:t>
      </w:r>
    </w:p>
    <w:p w14:paraId="076CD16C" w14:textId="77777777" w:rsidR="0003312E" w:rsidRPr="000D7094" w:rsidRDefault="0003312E">
      <w:pPr>
        <w:pStyle w:val="NormalWeb"/>
        <w:shd w:val="clear" w:color="auto" w:fill="FFFFFF"/>
        <w:tabs>
          <w:tab w:val="left" w:pos="425"/>
        </w:tabs>
        <w:spacing w:beforeAutospacing="0" w:after="0" w:afterAutospacing="0" w:line="360" w:lineRule="auto"/>
        <w:jc w:val="both"/>
        <w:rPr>
          <w:rFonts w:eastAsia="Segoe UI"/>
          <w:sz w:val="20"/>
          <w:szCs w:val="20"/>
          <w:lang w:val="pt-BR"/>
        </w:rPr>
      </w:pPr>
    </w:p>
    <w:p w14:paraId="74AADADF" w14:textId="77777777" w:rsidR="0003312E" w:rsidRPr="000D7094" w:rsidRDefault="00000000">
      <w:pPr>
        <w:spacing w:after="0" w:line="240" w:lineRule="auto"/>
        <w:jc w:val="both"/>
        <w:rPr>
          <w:rFonts w:ascii="Times New Roman" w:eastAsia="Segoe UI" w:hAnsi="Times New Roman" w:cs="Times New Roman"/>
          <w:sz w:val="20"/>
          <w:szCs w:val="20"/>
          <w:shd w:val="clear" w:color="auto" w:fill="FFFFFF"/>
          <w:lang w:eastAsia="zh-CN"/>
        </w:rPr>
      </w:pPr>
      <w:r w:rsidRPr="000D7094">
        <w:rPr>
          <w:rFonts w:ascii="Times New Roman" w:eastAsia="Segoe UI" w:hAnsi="Times New Roman" w:cs="Times New Roman"/>
          <w:sz w:val="20"/>
          <w:szCs w:val="20"/>
          <w:shd w:val="clear" w:color="auto" w:fill="FFFFFF"/>
          <w:lang w:eastAsia="zh-CN"/>
        </w:rPr>
        <w:br w:type="page"/>
      </w:r>
    </w:p>
    <w:p w14:paraId="599B9785" w14:textId="77777777" w:rsidR="0003312E" w:rsidRDefault="0003312E">
      <w:pPr>
        <w:pStyle w:val="NormalWeb"/>
        <w:spacing w:beforeAutospacing="0" w:after="0" w:afterAutospacing="0" w:line="240" w:lineRule="auto"/>
        <w:jc w:val="both"/>
        <w:rPr>
          <w:rFonts w:eastAsia="Segoe UI"/>
          <w:sz w:val="20"/>
          <w:szCs w:val="20"/>
          <w:shd w:val="clear" w:color="auto" w:fill="FFFFFF"/>
          <w:lang w:val="pt-BR"/>
        </w:rPr>
      </w:pPr>
    </w:p>
    <w:p w14:paraId="4110A28E" w14:textId="77777777" w:rsidR="0003312E" w:rsidRDefault="00000000">
      <w:pPr>
        <w:spacing w:after="0" w:line="240" w:lineRule="auto"/>
        <w:jc w:val="both"/>
        <w:rPr>
          <w:rFonts w:ascii="Times New Roman" w:eastAsia="Segoe UI" w:hAnsi="Times New Roman" w:cs="Times New Roman"/>
          <w:sz w:val="24"/>
          <w:szCs w:val="24"/>
          <w:shd w:val="clear" w:color="auto" w:fill="FFFFFF"/>
          <w:lang w:eastAsia="zh-CN"/>
        </w:rPr>
      </w:pPr>
      <w:r>
        <w:rPr>
          <w:rFonts w:ascii="Times New Roman" w:eastAsia="Segoe UI" w:hAnsi="Times New Roman" w:cs="Times New Roman"/>
          <w:sz w:val="20"/>
          <w:szCs w:val="20"/>
          <w:shd w:val="clear" w:color="auto" w:fill="FFFFFF"/>
        </w:rPr>
        <w:br w:type="page"/>
      </w:r>
    </w:p>
    <w:p w14:paraId="3639083D" w14:textId="77777777" w:rsidR="0003312E" w:rsidRDefault="0003312E">
      <w:pPr>
        <w:rPr>
          <w:rFonts w:ascii="Times New Roman" w:eastAsia="Segoe UI" w:hAnsi="Times New Roman" w:cs="Times New Roman"/>
          <w:sz w:val="20"/>
          <w:szCs w:val="20"/>
          <w:shd w:val="clear" w:color="auto" w:fill="FFFFFF"/>
          <w:lang w:eastAsia="zh-CN"/>
        </w:rPr>
      </w:pPr>
    </w:p>
    <w:p w14:paraId="44FDE028" w14:textId="77777777" w:rsidR="0003312E" w:rsidRDefault="0003312E">
      <w:pPr>
        <w:pStyle w:val="NormalWeb"/>
        <w:shd w:val="clear" w:color="auto" w:fill="FFFFFF"/>
        <w:tabs>
          <w:tab w:val="left" w:pos="425"/>
        </w:tabs>
        <w:spacing w:beforeAutospacing="0" w:after="0" w:afterAutospacing="0" w:line="360" w:lineRule="auto"/>
        <w:jc w:val="both"/>
        <w:rPr>
          <w:rFonts w:eastAsia="Segoe UI"/>
          <w:sz w:val="20"/>
          <w:szCs w:val="20"/>
          <w:lang w:val="pt-BR"/>
        </w:rPr>
      </w:pPr>
    </w:p>
    <w:p w14:paraId="7487DF66" w14:textId="77777777" w:rsidR="0003312E" w:rsidRDefault="00000000">
      <w:pPr>
        <w:pStyle w:val="NormalWeb"/>
        <w:shd w:val="clear" w:color="auto" w:fill="FFFFFF"/>
        <w:tabs>
          <w:tab w:val="left" w:pos="425"/>
        </w:tabs>
        <w:spacing w:beforeAutospacing="0" w:after="0" w:afterAutospacing="0" w:line="360" w:lineRule="auto"/>
        <w:jc w:val="both"/>
        <w:rPr>
          <w:rFonts w:eastAsia="Segoe UI"/>
          <w:b/>
          <w:bCs/>
          <w:sz w:val="20"/>
          <w:szCs w:val="20"/>
          <w:lang w:val="pt-BR"/>
        </w:rPr>
      </w:pPr>
      <w:r>
        <w:rPr>
          <w:rFonts w:eastAsia="Segoe UI"/>
          <w:b/>
          <w:bCs/>
          <w:sz w:val="20"/>
          <w:szCs w:val="20"/>
          <w:lang w:val="pt-BR"/>
        </w:rPr>
        <w:t>GLOSSÁRIO NEUROETIMOLÓGICO</w:t>
      </w:r>
    </w:p>
    <w:tbl>
      <w:tblPr>
        <w:tblStyle w:val="TabeladeGradeClara1"/>
        <w:tblW w:w="9209" w:type="dxa"/>
        <w:tblLook w:val="04A0" w:firstRow="1" w:lastRow="0" w:firstColumn="1" w:lastColumn="0" w:noHBand="0" w:noVBand="1"/>
      </w:tblPr>
      <w:tblGrid>
        <w:gridCol w:w="1250"/>
        <w:gridCol w:w="2147"/>
        <w:gridCol w:w="3488"/>
        <w:gridCol w:w="2324"/>
      </w:tblGrid>
      <w:tr w:rsidR="0003312E" w14:paraId="048FFBE3" w14:textId="77777777" w:rsidTr="000D7094">
        <w:tc>
          <w:tcPr>
            <w:tcW w:w="0" w:type="auto"/>
          </w:tcPr>
          <w:p w14:paraId="1B9249C9" w14:textId="77777777" w:rsidR="0003312E" w:rsidRDefault="00000000">
            <w:pPr>
              <w:pStyle w:val="NormalWeb"/>
              <w:shd w:val="clear" w:color="auto" w:fill="FFFFFF"/>
              <w:tabs>
                <w:tab w:val="left" w:pos="425"/>
              </w:tabs>
              <w:spacing w:beforeAutospacing="0" w:after="0" w:afterAutospacing="0" w:line="180" w:lineRule="exact"/>
              <w:rPr>
                <w:rFonts w:eastAsia="Segoe UI"/>
                <w:b/>
                <w:bCs/>
                <w:sz w:val="20"/>
                <w:szCs w:val="20"/>
                <w:lang w:val="pt-BR"/>
              </w:rPr>
            </w:pPr>
            <w:r>
              <w:rPr>
                <w:rFonts w:eastAsia="Segoe UI"/>
                <w:b/>
                <w:bCs/>
                <w:sz w:val="20"/>
                <w:szCs w:val="20"/>
                <w:lang w:val="pt-BR"/>
              </w:rPr>
              <w:t>Termo</w:t>
            </w:r>
          </w:p>
        </w:tc>
        <w:tc>
          <w:tcPr>
            <w:tcW w:w="2147" w:type="dxa"/>
          </w:tcPr>
          <w:p w14:paraId="56257611" w14:textId="77777777" w:rsidR="0003312E" w:rsidRDefault="00000000">
            <w:pPr>
              <w:pStyle w:val="NormalWeb"/>
              <w:shd w:val="clear" w:color="auto" w:fill="FFFFFF"/>
              <w:tabs>
                <w:tab w:val="left" w:pos="425"/>
              </w:tabs>
              <w:spacing w:beforeAutospacing="0" w:after="0" w:afterAutospacing="0" w:line="180" w:lineRule="exact"/>
              <w:rPr>
                <w:rFonts w:eastAsia="Segoe UI"/>
                <w:b/>
                <w:bCs/>
                <w:sz w:val="20"/>
                <w:szCs w:val="20"/>
                <w:lang w:val="pt-BR"/>
              </w:rPr>
            </w:pPr>
            <w:r>
              <w:rPr>
                <w:rFonts w:eastAsia="Segoe UI"/>
                <w:b/>
                <w:bCs/>
                <w:sz w:val="20"/>
                <w:szCs w:val="20"/>
                <w:lang w:val="pt-BR"/>
              </w:rPr>
              <w:t>Etimologia</w:t>
            </w:r>
          </w:p>
        </w:tc>
        <w:tc>
          <w:tcPr>
            <w:tcW w:w="3488" w:type="dxa"/>
          </w:tcPr>
          <w:p w14:paraId="762F400A" w14:textId="77777777" w:rsidR="0003312E" w:rsidRDefault="00000000">
            <w:pPr>
              <w:pStyle w:val="NormalWeb"/>
              <w:shd w:val="clear" w:color="auto" w:fill="FFFFFF"/>
              <w:tabs>
                <w:tab w:val="left" w:pos="425"/>
              </w:tabs>
              <w:spacing w:beforeAutospacing="0" w:after="0" w:afterAutospacing="0" w:line="180" w:lineRule="exact"/>
              <w:rPr>
                <w:rFonts w:eastAsia="Segoe UI"/>
                <w:b/>
                <w:bCs/>
                <w:sz w:val="20"/>
                <w:szCs w:val="20"/>
                <w:lang w:val="pt-BR"/>
              </w:rPr>
            </w:pPr>
            <w:r>
              <w:rPr>
                <w:rFonts w:eastAsia="Segoe UI"/>
                <w:b/>
                <w:bCs/>
                <w:sz w:val="20"/>
                <w:szCs w:val="20"/>
                <w:lang w:val="pt-BR"/>
              </w:rPr>
              <w:t>Significado Neurocientífico/Clínico</w:t>
            </w:r>
          </w:p>
        </w:tc>
        <w:tc>
          <w:tcPr>
            <w:tcW w:w="2324" w:type="dxa"/>
          </w:tcPr>
          <w:p w14:paraId="0DB8C5FC" w14:textId="77777777" w:rsidR="0003312E" w:rsidRDefault="00000000">
            <w:pPr>
              <w:pStyle w:val="NormalWeb"/>
              <w:shd w:val="clear" w:color="auto" w:fill="FFFFFF"/>
              <w:tabs>
                <w:tab w:val="left" w:pos="425"/>
              </w:tabs>
              <w:spacing w:beforeAutospacing="0" w:after="0" w:afterAutospacing="0" w:line="180" w:lineRule="exact"/>
              <w:rPr>
                <w:rFonts w:eastAsia="Segoe UI"/>
                <w:b/>
                <w:bCs/>
                <w:sz w:val="20"/>
                <w:szCs w:val="20"/>
                <w:lang w:val="pt-BR"/>
              </w:rPr>
            </w:pPr>
            <w:r>
              <w:rPr>
                <w:rFonts w:eastAsia="Segoe UI"/>
                <w:b/>
                <w:bCs/>
                <w:sz w:val="20"/>
                <w:szCs w:val="20"/>
                <w:lang w:val="pt-BR"/>
              </w:rPr>
              <w:t>Dimensão Poético-Filosófica</w:t>
            </w:r>
          </w:p>
        </w:tc>
      </w:tr>
      <w:tr w:rsidR="0003312E" w14:paraId="05F573B8" w14:textId="77777777" w:rsidTr="000D7094">
        <w:tc>
          <w:tcPr>
            <w:tcW w:w="0" w:type="auto"/>
          </w:tcPr>
          <w:p w14:paraId="22BEF4CE"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b/>
                <w:bCs/>
                <w:sz w:val="20"/>
                <w:szCs w:val="20"/>
                <w:lang w:val="pt-BR"/>
              </w:rPr>
              <w:t>Hipnose</w:t>
            </w:r>
          </w:p>
        </w:tc>
        <w:tc>
          <w:tcPr>
            <w:tcW w:w="2147" w:type="dxa"/>
          </w:tcPr>
          <w:p w14:paraId="12C2454D"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 xml:space="preserve">Grego </w:t>
            </w:r>
            <w:proofErr w:type="spellStart"/>
            <w:r>
              <w:rPr>
                <w:rFonts w:eastAsia="Segoe UI"/>
                <w:i/>
                <w:iCs/>
                <w:sz w:val="20"/>
                <w:szCs w:val="20"/>
                <w:lang w:val="pt-BR"/>
              </w:rPr>
              <w:t>hýpnos</w:t>
            </w:r>
            <w:proofErr w:type="spellEnd"/>
            <w:r>
              <w:rPr>
                <w:rFonts w:eastAsia="Segoe UI"/>
                <w:sz w:val="20"/>
                <w:szCs w:val="20"/>
                <w:lang w:val="pt-BR"/>
              </w:rPr>
              <w:t xml:space="preserve"> (ὕπ</w:t>
            </w:r>
            <w:proofErr w:type="spellStart"/>
            <w:r>
              <w:rPr>
                <w:rFonts w:eastAsia="Segoe UI"/>
                <w:sz w:val="20"/>
                <w:szCs w:val="20"/>
                <w:lang w:val="pt-BR"/>
              </w:rPr>
              <w:t>νος</w:t>
            </w:r>
            <w:proofErr w:type="spellEnd"/>
            <w:r>
              <w:rPr>
                <w:rFonts w:eastAsia="Segoe UI"/>
                <w:sz w:val="20"/>
                <w:szCs w:val="20"/>
                <w:lang w:val="pt-BR"/>
              </w:rPr>
              <w:t xml:space="preserve">): “sono”. Sufixo </w:t>
            </w:r>
            <w:r>
              <w:rPr>
                <w:rFonts w:eastAsia="Segoe UI"/>
                <w:i/>
                <w:iCs/>
                <w:sz w:val="20"/>
                <w:szCs w:val="20"/>
                <w:lang w:val="pt-BR"/>
              </w:rPr>
              <w:t>-</w:t>
            </w:r>
            <w:proofErr w:type="spellStart"/>
            <w:r>
              <w:rPr>
                <w:rFonts w:eastAsia="Segoe UI"/>
                <w:i/>
                <w:iCs/>
                <w:sz w:val="20"/>
                <w:szCs w:val="20"/>
                <w:lang w:val="pt-BR"/>
              </w:rPr>
              <w:t>osis</w:t>
            </w:r>
            <w:proofErr w:type="spellEnd"/>
            <w:r>
              <w:rPr>
                <w:rFonts w:eastAsia="Segoe UI"/>
                <w:sz w:val="20"/>
                <w:szCs w:val="20"/>
                <w:lang w:val="pt-BR"/>
              </w:rPr>
              <w:t xml:space="preserve"> (processo).</w:t>
            </w:r>
          </w:p>
        </w:tc>
        <w:tc>
          <w:tcPr>
            <w:tcW w:w="3488" w:type="dxa"/>
          </w:tcPr>
          <w:p w14:paraId="41E952DF"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 xml:space="preserve">Estado de </w:t>
            </w:r>
            <w:proofErr w:type="spellStart"/>
            <w:r>
              <w:rPr>
                <w:rFonts w:eastAsia="Segoe UI"/>
                <w:sz w:val="20"/>
                <w:szCs w:val="20"/>
                <w:lang w:val="pt-BR"/>
              </w:rPr>
              <w:t>hiperatenção</w:t>
            </w:r>
            <w:proofErr w:type="spellEnd"/>
            <w:r>
              <w:rPr>
                <w:rFonts w:eastAsia="Segoe UI"/>
                <w:sz w:val="20"/>
                <w:szCs w:val="20"/>
                <w:lang w:val="pt-BR"/>
              </w:rPr>
              <w:t xml:space="preserve"> focada (não sono), caracterizado por maior sugestionabilidade. Neuroimagens mostram ativação do córtex pré-frontal (controle executivo) e desativação da Rede de Modo Padrão (DMN).</w:t>
            </w:r>
          </w:p>
        </w:tc>
        <w:tc>
          <w:tcPr>
            <w:tcW w:w="2324" w:type="dxa"/>
          </w:tcPr>
          <w:p w14:paraId="2F1CFBD2"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O Portão. Estado liminar entre vigília e sono, onde a atenção é um portal para ressignificar a percepção e a memória.</w:t>
            </w:r>
          </w:p>
        </w:tc>
      </w:tr>
      <w:tr w:rsidR="0003312E" w14:paraId="3265F44E" w14:textId="77777777" w:rsidTr="000D7094">
        <w:tc>
          <w:tcPr>
            <w:tcW w:w="0" w:type="auto"/>
          </w:tcPr>
          <w:p w14:paraId="346517CF"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b/>
                <w:bCs/>
                <w:sz w:val="20"/>
                <w:szCs w:val="20"/>
                <w:lang w:val="pt-BR"/>
              </w:rPr>
              <w:t>Coma</w:t>
            </w:r>
          </w:p>
        </w:tc>
        <w:tc>
          <w:tcPr>
            <w:tcW w:w="2147" w:type="dxa"/>
          </w:tcPr>
          <w:p w14:paraId="254F425B"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 xml:space="preserve">Grego </w:t>
            </w:r>
            <w:proofErr w:type="spellStart"/>
            <w:r>
              <w:rPr>
                <w:rFonts w:eastAsia="Segoe UI"/>
                <w:i/>
                <w:iCs/>
                <w:sz w:val="20"/>
                <w:szCs w:val="20"/>
                <w:lang w:val="pt-BR"/>
              </w:rPr>
              <w:t>kôma</w:t>
            </w:r>
            <w:proofErr w:type="spellEnd"/>
            <w:r>
              <w:rPr>
                <w:rFonts w:eastAsia="Segoe UI"/>
                <w:sz w:val="20"/>
                <w:szCs w:val="20"/>
                <w:lang w:val="pt-BR"/>
              </w:rPr>
              <w:t xml:space="preserve"> (</w:t>
            </w:r>
            <w:proofErr w:type="spellStart"/>
            <w:r>
              <w:rPr>
                <w:rFonts w:eastAsia="Segoe UI"/>
                <w:sz w:val="20"/>
                <w:szCs w:val="20"/>
                <w:lang w:val="pt-BR"/>
              </w:rPr>
              <w:t>κῶμ</w:t>
            </w:r>
            <w:proofErr w:type="spellEnd"/>
            <w:r>
              <w:rPr>
                <w:rFonts w:eastAsia="Segoe UI"/>
                <w:sz w:val="20"/>
                <w:szCs w:val="20"/>
                <w:lang w:val="pt-BR"/>
              </w:rPr>
              <w:t>α): “sono profundo”.</w:t>
            </w:r>
          </w:p>
        </w:tc>
        <w:tc>
          <w:tcPr>
            <w:tcW w:w="3488" w:type="dxa"/>
          </w:tcPr>
          <w:p w14:paraId="6CB174F2"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Estado patológico de inconsciência profunda e sustentada, com ausência de ciclos sono-vigília. Resulta de uma desconexão entre o córtex cerebral e o Sistema de Ativação Reticular Ascendente (SARA).</w:t>
            </w:r>
          </w:p>
        </w:tc>
        <w:tc>
          <w:tcPr>
            <w:tcW w:w="2324" w:type="dxa"/>
          </w:tcPr>
          <w:p w14:paraId="6EE06A96"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O Silêncio. A antítese da consciência; um apagão neural que confronta os limites entre a vida biológica e a existência consciente.</w:t>
            </w:r>
          </w:p>
        </w:tc>
      </w:tr>
      <w:tr w:rsidR="0003312E" w14:paraId="383C0F83" w14:textId="77777777" w:rsidTr="000D7094">
        <w:tc>
          <w:tcPr>
            <w:tcW w:w="0" w:type="auto"/>
          </w:tcPr>
          <w:p w14:paraId="0C5A18E6"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b/>
                <w:bCs/>
                <w:sz w:val="20"/>
                <w:szCs w:val="20"/>
                <w:lang w:val="pt-BR"/>
              </w:rPr>
              <w:t>Frenesi</w:t>
            </w:r>
          </w:p>
        </w:tc>
        <w:tc>
          <w:tcPr>
            <w:tcW w:w="2147" w:type="dxa"/>
          </w:tcPr>
          <w:p w14:paraId="7779EABF"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 xml:space="preserve">Grego </w:t>
            </w:r>
            <w:proofErr w:type="spellStart"/>
            <w:r>
              <w:rPr>
                <w:rFonts w:eastAsia="Segoe UI"/>
                <w:i/>
                <w:iCs/>
                <w:sz w:val="20"/>
                <w:szCs w:val="20"/>
                <w:lang w:val="pt-BR"/>
              </w:rPr>
              <w:t>phrénēsis</w:t>
            </w:r>
            <w:proofErr w:type="spellEnd"/>
            <w:r>
              <w:rPr>
                <w:rFonts w:eastAsia="Segoe UI"/>
                <w:sz w:val="20"/>
                <w:szCs w:val="20"/>
                <w:lang w:val="pt-BR"/>
              </w:rPr>
              <w:t xml:space="preserve"> (</w:t>
            </w:r>
            <w:proofErr w:type="spellStart"/>
            <w:r>
              <w:rPr>
                <w:rFonts w:eastAsia="Segoe UI"/>
                <w:sz w:val="20"/>
                <w:szCs w:val="20"/>
                <w:lang w:val="pt-BR"/>
              </w:rPr>
              <w:t>φρένῃσις</w:t>
            </w:r>
            <w:proofErr w:type="spellEnd"/>
            <w:r>
              <w:rPr>
                <w:rFonts w:eastAsia="Segoe UI"/>
                <w:sz w:val="20"/>
                <w:szCs w:val="20"/>
                <w:lang w:val="pt-BR"/>
              </w:rPr>
              <w:t xml:space="preserve">): de </w:t>
            </w:r>
            <w:proofErr w:type="spellStart"/>
            <w:r>
              <w:rPr>
                <w:rFonts w:eastAsia="Segoe UI"/>
                <w:i/>
                <w:iCs/>
                <w:sz w:val="20"/>
                <w:szCs w:val="20"/>
                <w:lang w:val="pt-BR"/>
              </w:rPr>
              <w:t>phrēn</w:t>
            </w:r>
            <w:proofErr w:type="spellEnd"/>
            <w:r>
              <w:rPr>
                <w:rFonts w:eastAsia="Segoe UI"/>
                <w:sz w:val="20"/>
                <w:szCs w:val="20"/>
                <w:lang w:val="pt-BR"/>
              </w:rPr>
              <w:t xml:space="preserve"> (</w:t>
            </w:r>
            <w:proofErr w:type="spellStart"/>
            <w:r>
              <w:rPr>
                <w:rFonts w:eastAsia="Segoe UI"/>
                <w:sz w:val="20"/>
                <w:szCs w:val="20"/>
                <w:lang w:val="pt-BR"/>
              </w:rPr>
              <w:t>φρήν</w:t>
            </w:r>
            <w:proofErr w:type="spellEnd"/>
            <w:r>
              <w:rPr>
                <w:rFonts w:eastAsia="Segoe UI"/>
                <w:sz w:val="20"/>
                <w:szCs w:val="20"/>
                <w:lang w:val="pt-BR"/>
              </w:rPr>
              <w:t xml:space="preserve">, "mente, ânimo") + </w:t>
            </w:r>
            <w:r>
              <w:rPr>
                <w:rFonts w:eastAsia="Segoe UI"/>
                <w:i/>
                <w:iCs/>
                <w:sz w:val="20"/>
                <w:szCs w:val="20"/>
                <w:lang w:val="pt-BR"/>
              </w:rPr>
              <w:t>-</w:t>
            </w:r>
            <w:proofErr w:type="spellStart"/>
            <w:r>
              <w:rPr>
                <w:rFonts w:eastAsia="Segoe UI"/>
                <w:i/>
                <w:iCs/>
                <w:sz w:val="20"/>
                <w:szCs w:val="20"/>
                <w:lang w:val="pt-BR"/>
              </w:rPr>
              <w:t>sis</w:t>
            </w:r>
            <w:proofErr w:type="spellEnd"/>
            <w:r>
              <w:rPr>
                <w:rFonts w:eastAsia="Segoe UI"/>
                <w:sz w:val="20"/>
                <w:szCs w:val="20"/>
                <w:lang w:val="pt-BR"/>
              </w:rPr>
              <w:t xml:space="preserve"> (-</w:t>
            </w:r>
            <w:proofErr w:type="spellStart"/>
            <w:r>
              <w:rPr>
                <w:rFonts w:eastAsia="Segoe UI"/>
                <w:sz w:val="20"/>
                <w:szCs w:val="20"/>
                <w:lang w:val="pt-BR"/>
              </w:rPr>
              <w:t>σις</w:t>
            </w:r>
            <w:proofErr w:type="spellEnd"/>
            <w:r>
              <w:rPr>
                <w:rFonts w:eastAsia="Segoe UI"/>
                <w:sz w:val="20"/>
                <w:szCs w:val="20"/>
                <w:lang w:val="pt-BR"/>
              </w:rPr>
              <w:t>, "processo/estado"). Literalmente, "o processo de uma mente agitada".</w:t>
            </w:r>
          </w:p>
        </w:tc>
        <w:tc>
          <w:tcPr>
            <w:tcW w:w="3488" w:type="dxa"/>
          </w:tcPr>
          <w:p w14:paraId="1B2F8E43"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Estado de hiperexcitação psicológica (não inflamatória), com ativação de circuitos límbicos e corticais. Caracterizado por agitação, fluxo de pensamento acelerado e desinibição, associado a hiperatividade dopaminérgica e falha no controle inibitório do córtex pré-frontal.</w:t>
            </w:r>
          </w:p>
        </w:tc>
        <w:tc>
          <w:tcPr>
            <w:tcW w:w="2324" w:type="dxa"/>
          </w:tcPr>
          <w:p w14:paraId="0A7150F9"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O Fogo que Cria e Consome. A combustão dionisíaca da mente; força primordial de excitação mental que habita o limiar entre a genialidade inspirada e a autodestruição.</w:t>
            </w:r>
          </w:p>
        </w:tc>
      </w:tr>
      <w:tr w:rsidR="0003312E" w14:paraId="740E356F" w14:textId="77777777" w:rsidTr="000D7094">
        <w:tc>
          <w:tcPr>
            <w:tcW w:w="0" w:type="auto"/>
          </w:tcPr>
          <w:p w14:paraId="732BF120"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b/>
                <w:bCs/>
                <w:sz w:val="20"/>
                <w:szCs w:val="20"/>
                <w:lang w:val="pt-BR"/>
              </w:rPr>
              <w:t>Melancolia</w:t>
            </w:r>
          </w:p>
        </w:tc>
        <w:tc>
          <w:tcPr>
            <w:tcW w:w="2147" w:type="dxa"/>
          </w:tcPr>
          <w:p w14:paraId="77CE3EF9"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 xml:space="preserve">Grego </w:t>
            </w:r>
            <w:proofErr w:type="spellStart"/>
            <w:r>
              <w:rPr>
                <w:rFonts w:eastAsia="Segoe UI"/>
                <w:i/>
                <w:iCs/>
                <w:sz w:val="20"/>
                <w:szCs w:val="20"/>
                <w:lang w:val="pt-BR"/>
              </w:rPr>
              <w:t>melankholía</w:t>
            </w:r>
            <w:proofErr w:type="spellEnd"/>
            <w:r>
              <w:rPr>
                <w:rFonts w:eastAsia="Segoe UI"/>
                <w:sz w:val="20"/>
                <w:szCs w:val="20"/>
                <w:lang w:val="pt-BR"/>
              </w:rPr>
              <w:t xml:space="preserve"> (</w:t>
            </w:r>
            <w:proofErr w:type="spellStart"/>
            <w:r>
              <w:rPr>
                <w:rFonts w:eastAsia="Segoe UI"/>
                <w:sz w:val="20"/>
                <w:szCs w:val="20"/>
                <w:lang w:val="pt-BR"/>
              </w:rPr>
              <w:t>μελ</w:t>
            </w:r>
            <w:proofErr w:type="spellEnd"/>
            <w:r>
              <w:rPr>
                <w:rFonts w:eastAsia="Segoe UI"/>
                <w:sz w:val="20"/>
                <w:szCs w:val="20"/>
                <w:lang w:val="pt-BR"/>
              </w:rPr>
              <w:t xml:space="preserve">αγχολία): de </w:t>
            </w:r>
            <w:proofErr w:type="spellStart"/>
            <w:r>
              <w:rPr>
                <w:rFonts w:eastAsia="Segoe UI"/>
                <w:i/>
                <w:iCs/>
                <w:sz w:val="20"/>
                <w:szCs w:val="20"/>
                <w:lang w:val="pt-BR"/>
              </w:rPr>
              <w:t>mélas</w:t>
            </w:r>
            <w:proofErr w:type="spellEnd"/>
            <w:r>
              <w:rPr>
                <w:rFonts w:eastAsia="Segoe UI"/>
                <w:sz w:val="20"/>
                <w:szCs w:val="20"/>
                <w:lang w:val="pt-BR"/>
              </w:rPr>
              <w:t xml:space="preserve"> (</w:t>
            </w:r>
            <w:proofErr w:type="spellStart"/>
            <w:r>
              <w:rPr>
                <w:rFonts w:eastAsia="Segoe UI"/>
                <w:sz w:val="20"/>
                <w:szCs w:val="20"/>
                <w:lang w:val="pt-BR"/>
              </w:rPr>
              <w:t>μέλ</w:t>
            </w:r>
            <w:proofErr w:type="spellEnd"/>
            <w:r>
              <w:rPr>
                <w:rFonts w:eastAsia="Segoe UI"/>
                <w:sz w:val="20"/>
                <w:szCs w:val="20"/>
                <w:lang w:val="pt-BR"/>
              </w:rPr>
              <w:t xml:space="preserve">ας, "negro") + </w:t>
            </w:r>
            <w:proofErr w:type="spellStart"/>
            <w:r>
              <w:rPr>
                <w:rFonts w:eastAsia="Segoe UI"/>
                <w:i/>
                <w:iCs/>
                <w:sz w:val="20"/>
                <w:szCs w:val="20"/>
                <w:lang w:val="pt-BR"/>
              </w:rPr>
              <w:t>kholḗ</w:t>
            </w:r>
            <w:proofErr w:type="spellEnd"/>
            <w:r>
              <w:rPr>
                <w:rFonts w:eastAsia="Segoe UI"/>
                <w:sz w:val="20"/>
                <w:szCs w:val="20"/>
                <w:lang w:val="pt-BR"/>
              </w:rPr>
              <w:t xml:space="preserve"> (</w:t>
            </w:r>
            <w:proofErr w:type="spellStart"/>
            <w:r>
              <w:rPr>
                <w:rFonts w:eastAsia="Segoe UI"/>
                <w:sz w:val="20"/>
                <w:szCs w:val="20"/>
                <w:lang w:val="pt-BR"/>
              </w:rPr>
              <w:t>χολή</w:t>
            </w:r>
            <w:proofErr w:type="spellEnd"/>
            <w:r>
              <w:rPr>
                <w:rFonts w:eastAsia="Segoe UI"/>
                <w:sz w:val="20"/>
                <w:szCs w:val="20"/>
                <w:lang w:val="pt-BR"/>
              </w:rPr>
              <w:t>, "bile").</w:t>
            </w:r>
          </w:p>
        </w:tc>
        <w:tc>
          <w:tcPr>
            <w:tcW w:w="3488" w:type="dxa"/>
          </w:tcPr>
          <w:p w14:paraId="3E52DB75"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Humor depressivo profundo (anedonia, ruminação, lentidão). Neuroimagens mostram hipoatividade em circuitos de recompensa (dopamina) e hiperatividade em áreas associadas à autocrítica e ao medo.</w:t>
            </w:r>
          </w:p>
        </w:tc>
        <w:tc>
          <w:tcPr>
            <w:tcW w:w="2324" w:type="dxa"/>
          </w:tcPr>
          <w:p w14:paraId="0BB9DADE"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A Cidade Subterrânea. Um reino de introspecção e sofrimento que, nas profundezas, pode gerar sabedoria e insight criativo.</w:t>
            </w:r>
          </w:p>
        </w:tc>
      </w:tr>
      <w:tr w:rsidR="0003312E" w14:paraId="2EC63BB5" w14:textId="77777777" w:rsidTr="000D7094">
        <w:tc>
          <w:tcPr>
            <w:tcW w:w="0" w:type="auto"/>
          </w:tcPr>
          <w:p w14:paraId="6024EBC4"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b/>
                <w:bCs/>
                <w:sz w:val="20"/>
                <w:szCs w:val="20"/>
                <w:lang w:val="pt-BR"/>
              </w:rPr>
              <w:t>Êxtase</w:t>
            </w:r>
          </w:p>
        </w:tc>
        <w:tc>
          <w:tcPr>
            <w:tcW w:w="2147" w:type="dxa"/>
          </w:tcPr>
          <w:p w14:paraId="0375B591"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 xml:space="preserve">Grego </w:t>
            </w:r>
            <w:proofErr w:type="spellStart"/>
            <w:r>
              <w:rPr>
                <w:rFonts w:eastAsia="Segoe UI"/>
                <w:i/>
                <w:iCs/>
                <w:sz w:val="20"/>
                <w:szCs w:val="20"/>
                <w:lang w:val="pt-BR"/>
              </w:rPr>
              <w:t>ékstasis</w:t>
            </w:r>
            <w:proofErr w:type="spellEnd"/>
            <w:r>
              <w:rPr>
                <w:rFonts w:eastAsia="Segoe UI"/>
                <w:sz w:val="20"/>
                <w:szCs w:val="20"/>
                <w:lang w:val="pt-BR"/>
              </w:rPr>
              <w:t xml:space="preserve"> (</w:t>
            </w:r>
            <w:proofErr w:type="spellStart"/>
            <w:r>
              <w:rPr>
                <w:rFonts w:eastAsia="Segoe UI"/>
                <w:sz w:val="20"/>
                <w:szCs w:val="20"/>
                <w:lang w:val="pt-BR"/>
              </w:rPr>
              <w:t>ἔκστ</w:t>
            </w:r>
            <w:proofErr w:type="spellEnd"/>
            <w:r>
              <w:rPr>
                <w:rFonts w:eastAsia="Segoe UI"/>
                <w:sz w:val="20"/>
                <w:szCs w:val="20"/>
                <w:lang w:val="pt-BR"/>
              </w:rPr>
              <w:t xml:space="preserve">ασις): de </w:t>
            </w:r>
            <w:proofErr w:type="spellStart"/>
            <w:r>
              <w:rPr>
                <w:rFonts w:eastAsia="Segoe UI"/>
                <w:i/>
                <w:iCs/>
                <w:sz w:val="20"/>
                <w:szCs w:val="20"/>
                <w:lang w:val="pt-BR"/>
              </w:rPr>
              <w:t>ek</w:t>
            </w:r>
            <w:proofErr w:type="spellEnd"/>
            <w:r>
              <w:rPr>
                <w:rFonts w:eastAsia="Segoe UI"/>
                <w:sz w:val="20"/>
                <w:szCs w:val="20"/>
                <w:lang w:val="pt-BR"/>
              </w:rPr>
              <w:t xml:space="preserve"> (</w:t>
            </w:r>
            <w:proofErr w:type="spellStart"/>
            <w:r>
              <w:rPr>
                <w:rFonts w:eastAsia="Segoe UI"/>
                <w:sz w:val="20"/>
                <w:szCs w:val="20"/>
                <w:lang w:val="pt-BR"/>
              </w:rPr>
              <w:t>ἐκ</w:t>
            </w:r>
            <w:proofErr w:type="spellEnd"/>
            <w:r>
              <w:rPr>
                <w:rFonts w:eastAsia="Segoe UI"/>
                <w:sz w:val="20"/>
                <w:szCs w:val="20"/>
                <w:lang w:val="pt-BR"/>
              </w:rPr>
              <w:t xml:space="preserve">, "fora") + </w:t>
            </w:r>
            <w:proofErr w:type="spellStart"/>
            <w:r>
              <w:rPr>
                <w:rFonts w:eastAsia="Segoe UI"/>
                <w:i/>
                <w:iCs/>
                <w:sz w:val="20"/>
                <w:szCs w:val="20"/>
                <w:lang w:val="pt-BR"/>
              </w:rPr>
              <w:t>stásis</w:t>
            </w:r>
            <w:proofErr w:type="spellEnd"/>
            <w:r>
              <w:rPr>
                <w:rFonts w:eastAsia="Segoe UI"/>
                <w:sz w:val="20"/>
                <w:szCs w:val="20"/>
                <w:lang w:val="pt-BR"/>
              </w:rPr>
              <w:t xml:space="preserve"> (</w:t>
            </w:r>
            <w:proofErr w:type="spellStart"/>
            <w:r>
              <w:rPr>
                <w:rFonts w:eastAsia="Segoe UI"/>
                <w:sz w:val="20"/>
                <w:szCs w:val="20"/>
                <w:lang w:val="pt-BR"/>
              </w:rPr>
              <w:t>στάσις</w:t>
            </w:r>
            <w:proofErr w:type="spellEnd"/>
            <w:r>
              <w:rPr>
                <w:rFonts w:eastAsia="Segoe UI"/>
                <w:sz w:val="20"/>
                <w:szCs w:val="20"/>
                <w:lang w:val="pt-BR"/>
              </w:rPr>
              <w:t>, "posição, estabilidade").</w:t>
            </w:r>
          </w:p>
        </w:tc>
        <w:tc>
          <w:tcPr>
            <w:tcW w:w="3488" w:type="dxa"/>
          </w:tcPr>
          <w:p w14:paraId="55C33CB6"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 xml:space="preserve">Estado alterado de consciência caracterizado pela dissolução dos limites do </w:t>
            </w:r>
            <w:r>
              <w:rPr>
                <w:rFonts w:eastAsia="Segoe UI"/>
                <w:i/>
                <w:iCs/>
                <w:sz w:val="20"/>
                <w:szCs w:val="20"/>
                <w:lang w:val="pt-BR"/>
              </w:rPr>
              <w:t>self</w:t>
            </w:r>
            <w:r>
              <w:rPr>
                <w:rFonts w:eastAsia="Segoe UI"/>
                <w:sz w:val="20"/>
                <w:szCs w:val="20"/>
                <w:lang w:val="pt-BR"/>
              </w:rPr>
              <w:t>. Neuroimagens mostram desativação do lobo parietal (orientação espacial) e hiperatividade em circuitos límbicos (emoção intensa).</w:t>
            </w:r>
          </w:p>
        </w:tc>
        <w:tc>
          <w:tcPr>
            <w:tcW w:w="2324" w:type="dxa"/>
          </w:tcPr>
          <w:p w14:paraId="3DFD056F"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 xml:space="preserve">Além do Eu. A transcendência da dualidade; uma união paradoxal de agonia e bem-aventurança, onde o </w:t>
            </w:r>
            <w:r>
              <w:rPr>
                <w:rFonts w:eastAsia="Segoe UI"/>
                <w:i/>
                <w:iCs/>
                <w:sz w:val="20"/>
                <w:szCs w:val="20"/>
                <w:lang w:val="pt-BR"/>
              </w:rPr>
              <w:t>self</w:t>
            </w:r>
            <w:r>
              <w:rPr>
                <w:rFonts w:eastAsia="Segoe UI"/>
                <w:sz w:val="20"/>
                <w:szCs w:val="20"/>
                <w:lang w:val="pt-BR"/>
              </w:rPr>
              <w:t xml:space="preserve"> se funde com o todo.</w:t>
            </w:r>
          </w:p>
        </w:tc>
      </w:tr>
      <w:tr w:rsidR="0003312E" w14:paraId="03183790" w14:textId="77777777" w:rsidTr="000D7094">
        <w:tc>
          <w:tcPr>
            <w:tcW w:w="0" w:type="auto"/>
          </w:tcPr>
          <w:p w14:paraId="05ED5411"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b/>
                <w:bCs/>
                <w:sz w:val="20"/>
                <w:szCs w:val="20"/>
                <w:lang w:val="pt-BR"/>
              </w:rPr>
              <w:t>Delírio</w:t>
            </w:r>
          </w:p>
        </w:tc>
        <w:tc>
          <w:tcPr>
            <w:tcW w:w="2147" w:type="dxa"/>
          </w:tcPr>
          <w:p w14:paraId="7CBEC453"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 xml:space="preserve">Latim </w:t>
            </w:r>
            <w:proofErr w:type="spellStart"/>
            <w:r>
              <w:rPr>
                <w:rFonts w:eastAsia="Segoe UI"/>
                <w:i/>
                <w:iCs/>
                <w:sz w:val="20"/>
                <w:szCs w:val="20"/>
                <w:lang w:val="pt-BR"/>
              </w:rPr>
              <w:t>dēlīrāre</w:t>
            </w:r>
            <w:proofErr w:type="spellEnd"/>
            <w:r>
              <w:rPr>
                <w:rFonts w:eastAsia="Segoe UI"/>
                <w:sz w:val="20"/>
                <w:szCs w:val="20"/>
                <w:lang w:val="pt-BR"/>
              </w:rPr>
              <w:t xml:space="preserve">: de </w:t>
            </w:r>
            <w:proofErr w:type="spellStart"/>
            <w:r>
              <w:rPr>
                <w:rFonts w:eastAsia="Segoe UI"/>
                <w:i/>
                <w:iCs/>
                <w:sz w:val="20"/>
                <w:szCs w:val="20"/>
                <w:lang w:val="pt-BR"/>
              </w:rPr>
              <w:t>dē</w:t>
            </w:r>
            <w:proofErr w:type="spellEnd"/>
            <w:r>
              <w:rPr>
                <w:rFonts w:eastAsia="Segoe UI"/>
                <w:i/>
                <w:iCs/>
                <w:sz w:val="20"/>
                <w:szCs w:val="20"/>
                <w:lang w:val="pt-BR"/>
              </w:rPr>
              <w:t>-</w:t>
            </w:r>
            <w:r>
              <w:rPr>
                <w:rFonts w:eastAsia="Segoe UI"/>
                <w:sz w:val="20"/>
                <w:szCs w:val="20"/>
                <w:lang w:val="pt-BR"/>
              </w:rPr>
              <w:t xml:space="preserve"> ("fora") + </w:t>
            </w:r>
            <w:proofErr w:type="spellStart"/>
            <w:r>
              <w:rPr>
                <w:rFonts w:eastAsia="Segoe UI"/>
                <w:i/>
                <w:iCs/>
                <w:sz w:val="20"/>
                <w:szCs w:val="20"/>
                <w:lang w:val="pt-BR"/>
              </w:rPr>
              <w:t>līra</w:t>
            </w:r>
            <w:proofErr w:type="spellEnd"/>
            <w:r>
              <w:rPr>
                <w:rFonts w:eastAsia="Segoe UI"/>
                <w:sz w:val="20"/>
                <w:szCs w:val="20"/>
                <w:lang w:val="pt-BR"/>
              </w:rPr>
              <w:t xml:space="preserve"> ("sulco do arado").</w:t>
            </w:r>
          </w:p>
        </w:tc>
        <w:tc>
          <w:tcPr>
            <w:tcW w:w="3488" w:type="dxa"/>
          </w:tcPr>
          <w:p w14:paraId="3D7E8E2D"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Desorganização aguda da atenção e da consciência, acompanhada de confusão e flutuação. Reflete disfunção do córtex pré-frontal e hiperatividade dopaminérgica.</w:t>
            </w:r>
          </w:p>
        </w:tc>
        <w:tc>
          <w:tcPr>
            <w:tcW w:w="2324" w:type="dxa"/>
          </w:tcPr>
          <w:p w14:paraId="3B212F16"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O Labirinto Invertido. A mente que "sai do sulco" da razão, perdendo-se em uma realidade caótica, muitas vezes aterrorizante.</w:t>
            </w:r>
          </w:p>
        </w:tc>
      </w:tr>
      <w:tr w:rsidR="0003312E" w14:paraId="29F1894C" w14:textId="77777777" w:rsidTr="000D7094">
        <w:tc>
          <w:tcPr>
            <w:tcW w:w="0" w:type="auto"/>
          </w:tcPr>
          <w:p w14:paraId="53183740"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b/>
                <w:bCs/>
                <w:sz w:val="20"/>
                <w:szCs w:val="20"/>
                <w:lang w:val="pt-BR"/>
              </w:rPr>
              <w:t>Histeria</w:t>
            </w:r>
          </w:p>
        </w:tc>
        <w:tc>
          <w:tcPr>
            <w:tcW w:w="2147" w:type="dxa"/>
          </w:tcPr>
          <w:p w14:paraId="630C64F9"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 xml:space="preserve">Grego </w:t>
            </w:r>
            <w:proofErr w:type="spellStart"/>
            <w:r>
              <w:rPr>
                <w:rFonts w:eastAsia="Segoe UI"/>
                <w:sz w:val="20"/>
                <w:szCs w:val="20"/>
                <w:lang w:val="pt-BR"/>
              </w:rPr>
              <w:t>hystería</w:t>
            </w:r>
            <w:proofErr w:type="spellEnd"/>
            <w:r>
              <w:rPr>
                <w:rFonts w:eastAsia="Segoe UI"/>
                <w:sz w:val="20"/>
                <w:szCs w:val="20"/>
                <w:lang w:val="pt-BR"/>
              </w:rPr>
              <w:t xml:space="preserve"> (</w:t>
            </w:r>
            <w:proofErr w:type="spellStart"/>
            <w:r>
              <w:rPr>
                <w:rFonts w:eastAsia="Segoe UI"/>
                <w:sz w:val="20"/>
                <w:szCs w:val="20"/>
                <w:lang w:val="pt-BR"/>
              </w:rPr>
              <w:t>ὑστερί</w:t>
            </w:r>
            <w:proofErr w:type="spellEnd"/>
            <w:r>
              <w:rPr>
                <w:rFonts w:eastAsia="Segoe UI"/>
                <w:sz w:val="20"/>
                <w:szCs w:val="20"/>
                <w:lang w:val="pt-BR"/>
              </w:rPr>
              <w:t xml:space="preserve">α): de </w:t>
            </w:r>
            <w:proofErr w:type="spellStart"/>
            <w:r>
              <w:rPr>
                <w:rFonts w:eastAsia="Segoe UI"/>
                <w:i/>
                <w:iCs/>
                <w:sz w:val="20"/>
                <w:szCs w:val="20"/>
                <w:lang w:val="pt-BR"/>
              </w:rPr>
              <w:t>hystéra</w:t>
            </w:r>
            <w:proofErr w:type="spellEnd"/>
            <w:r>
              <w:rPr>
                <w:rFonts w:eastAsia="Segoe UI"/>
                <w:sz w:val="20"/>
                <w:szCs w:val="20"/>
                <w:lang w:val="pt-BR"/>
              </w:rPr>
              <w:t xml:space="preserve"> (“útero”) + o sufixo </w:t>
            </w:r>
            <w:r>
              <w:rPr>
                <w:rFonts w:eastAsia="Segoe UI"/>
                <w:i/>
                <w:iCs/>
                <w:sz w:val="20"/>
                <w:szCs w:val="20"/>
                <w:lang w:val="pt-BR"/>
              </w:rPr>
              <w:t>-</w:t>
            </w:r>
            <w:proofErr w:type="spellStart"/>
            <w:r>
              <w:rPr>
                <w:rFonts w:eastAsia="Segoe UI"/>
                <w:i/>
                <w:iCs/>
                <w:sz w:val="20"/>
                <w:szCs w:val="20"/>
                <w:lang w:val="pt-BR"/>
              </w:rPr>
              <w:t>ía</w:t>
            </w:r>
            <w:proofErr w:type="spellEnd"/>
            <w:r>
              <w:rPr>
                <w:rFonts w:eastAsia="Segoe UI"/>
                <w:sz w:val="20"/>
                <w:szCs w:val="20"/>
                <w:lang w:val="pt-BR"/>
              </w:rPr>
              <w:t xml:space="preserve"> (“estado/condição”). Literalmente, “condição uterina”.</w:t>
            </w:r>
          </w:p>
        </w:tc>
        <w:tc>
          <w:tcPr>
            <w:tcW w:w="3488" w:type="dxa"/>
          </w:tcPr>
          <w:p w14:paraId="6D8A8350"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Transtorno de Sintomas Neurológicos Funcionais (TSNF). Sintomas motores ou sensoriais sem correlação com lesão orgânica. Neuroimagens mostram dissociação entre intenção e ação.</w:t>
            </w:r>
          </w:p>
        </w:tc>
        <w:tc>
          <w:tcPr>
            <w:tcW w:w="2324" w:type="dxa"/>
          </w:tcPr>
          <w:p w14:paraId="75DC929D"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O Corpo que Fala. A encenação corporal do inconsciente; onde conflitos psíquicos mudos encontram uma voz física e simbólica.</w:t>
            </w:r>
          </w:p>
        </w:tc>
      </w:tr>
      <w:tr w:rsidR="0003312E" w14:paraId="59676543" w14:textId="77777777" w:rsidTr="000D7094">
        <w:tc>
          <w:tcPr>
            <w:tcW w:w="0" w:type="auto"/>
          </w:tcPr>
          <w:p w14:paraId="322CF09E"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b/>
                <w:bCs/>
                <w:sz w:val="20"/>
                <w:szCs w:val="20"/>
                <w:lang w:val="pt-BR"/>
              </w:rPr>
              <w:t>Neurastenia</w:t>
            </w:r>
          </w:p>
        </w:tc>
        <w:tc>
          <w:tcPr>
            <w:tcW w:w="2147" w:type="dxa"/>
          </w:tcPr>
          <w:p w14:paraId="0117A63C"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 xml:space="preserve">Grego </w:t>
            </w:r>
            <w:proofErr w:type="spellStart"/>
            <w:r>
              <w:rPr>
                <w:rFonts w:eastAsia="Segoe UI"/>
                <w:i/>
                <w:iCs/>
                <w:sz w:val="20"/>
                <w:szCs w:val="20"/>
                <w:lang w:val="pt-BR"/>
              </w:rPr>
              <w:t>neûron</w:t>
            </w:r>
            <w:proofErr w:type="spellEnd"/>
            <w:r>
              <w:rPr>
                <w:rFonts w:eastAsia="Segoe UI"/>
                <w:sz w:val="20"/>
                <w:szCs w:val="20"/>
                <w:lang w:val="pt-BR"/>
              </w:rPr>
              <w:t xml:space="preserve"> (</w:t>
            </w:r>
            <w:proofErr w:type="spellStart"/>
            <w:r>
              <w:rPr>
                <w:rFonts w:eastAsia="Segoe UI"/>
                <w:sz w:val="20"/>
                <w:szCs w:val="20"/>
                <w:lang w:val="pt-BR"/>
              </w:rPr>
              <w:t>νεῦρον</w:t>
            </w:r>
            <w:proofErr w:type="spellEnd"/>
            <w:r>
              <w:rPr>
                <w:rFonts w:eastAsia="Segoe UI"/>
                <w:sz w:val="20"/>
                <w:szCs w:val="20"/>
                <w:lang w:val="pt-BR"/>
              </w:rPr>
              <w:t xml:space="preserve">): “nervo” + </w:t>
            </w:r>
            <w:proofErr w:type="spellStart"/>
            <w:r>
              <w:rPr>
                <w:rFonts w:eastAsia="Segoe UI"/>
                <w:i/>
                <w:iCs/>
                <w:sz w:val="20"/>
                <w:szCs w:val="20"/>
                <w:lang w:val="pt-BR"/>
              </w:rPr>
              <w:t>asthéneia</w:t>
            </w:r>
            <w:proofErr w:type="spellEnd"/>
            <w:r>
              <w:rPr>
                <w:rFonts w:eastAsia="Segoe UI"/>
                <w:sz w:val="20"/>
                <w:szCs w:val="20"/>
                <w:lang w:val="pt-BR"/>
              </w:rPr>
              <w:t xml:space="preserve"> (</w:t>
            </w:r>
            <w:proofErr w:type="spellStart"/>
            <w:r>
              <w:rPr>
                <w:rFonts w:eastAsia="Segoe UI"/>
                <w:sz w:val="20"/>
                <w:szCs w:val="20"/>
                <w:lang w:val="pt-BR"/>
              </w:rPr>
              <w:t>ἀσθένει</w:t>
            </w:r>
            <w:proofErr w:type="spellEnd"/>
            <w:r>
              <w:rPr>
                <w:rFonts w:eastAsia="Segoe UI"/>
                <w:sz w:val="20"/>
                <w:szCs w:val="20"/>
                <w:lang w:val="pt-BR"/>
              </w:rPr>
              <w:t>α): “fraqueza, debilidade”.</w:t>
            </w:r>
          </w:p>
        </w:tc>
        <w:tc>
          <w:tcPr>
            <w:tcW w:w="3488" w:type="dxa"/>
          </w:tcPr>
          <w:p w14:paraId="0350EE31"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 xml:space="preserve">Síndrome de esgotamento nervoso (fadiga crônica, ansiedade, insônia). Correlato neurofisiológico envolve disfunção do </w:t>
            </w:r>
            <w:proofErr w:type="gramStart"/>
            <w:r>
              <w:rPr>
                <w:rFonts w:eastAsia="Segoe UI"/>
                <w:sz w:val="20"/>
                <w:szCs w:val="20"/>
                <w:lang w:val="pt-BR"/>
              </w:rPr>
              <w:t>eixo</w:t>
            </w:r>
            <w:proofErr w:type="gramEnd"/>
            <w:r>
              <w:rPr>
                <w:rFonts w:eastAsia="Segoe UI"/>
                <w:sz w:val="20"/>
                <w:szCs w:val="20"/>
                <w:lang w:val="pt-BR"/>
              </w:rPr>
              <w:t xml:space="preserve"> </w:t>
            </w:r>
            <w:proofErr w:type="spellStart"/>
            <w:r>
              <w:rPr>
                <w:rFonts w:eastAsia="Segoe UI"/>
                <w:sz w:val="20"/>
                <w:szCs w:val="20"/>
                <w:lang w:val="pt-BR"/>
              </w:rPr>
              <w:t>eixo</w:t>
            </w:r>
            <w:proofErr w:type="spellEnd"/>
            <w:r>
              <w:rPr>
                <w:rFonts w:eastAsia="Segoe UI"/>
                <w:sz w:val="20"/>
                <w:szCs w:val="20"/>
                <w:lang w:val="pt-BR"/>
              </w:rPr>
              <w:t xml:space="preserve"> HPA (hipotálamo-hipófise-</w:t>
            </w:r>
            <w:proofErr w:type="gramStart"/>
            <w:r>
              <w:rPr>
                <w:rFonts w:eastAsia="Segoe UI"/>
                <w:sz w:val="20"/>
                <w:szCs w:val="20"/>
                <w:lang w:val="pt-BR"/>
              </w:rPr>
              <w:t>adrenal)  (</w:t>
            </w:r>
            <w:proofErr w:type="gramEnd"/>
            <w:r>
              <w:rPr>
                <w:rFonts w:eastAsia="Segoe UI"/>
                <w:sz w:val="20"/>
                <w:szCs w:val="20"/>
                <w:lang w:val="pt-BR"/>
              </w:rPr>
              <w:t>cortisol crônico) e desregulação do sistema nervoso autônomo.</w:t>
            </w:r>
          </w:p>
        </w:tc>
        <w:tc>
          <w:tcPr>
            <w:tcW w:w="2324" w:type="dxa"/>
          </w:tcPr>
          <w:p w14:paraId="52CE8F97"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A Era do Excesso. O preço biológico do progresso; o colapso da energia nervosa diante das demandas da civilização moderna.</w:t>
            </w:r>
          </w:p>
        </w:tc>
      </w:tr>
      <w:tr w:rsidR="0003312E" w14:paraId="1724F93A" w14:textId="77777777" w:rsidTr="000D7094">
        <w:tc>
          <w:tcPr>
            <w:tcW w:w="0" w:type="auto"/>
          </w:tcPr>
          <w:p w14:paraId="6EA49EEB"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b/>
                <w:bCs/>
                <w:sz w:val="20"/>
                <w:szCs w:val="20"/>
                <w:lang w:val="pt-BR"/>
              </w:rPr>
              <w:t>Ansiedade</w:t>
            </w:r>
          </w:p>
        </w:tc>
        <w:tc>
          <w:tcPr>
            <w:tcW w:w="2147" w:type="dxa"/>
          </w:tcPr>
          <w:p w14:paraId="3C718692"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 xml:space="preserve">Latim </w:t>
            </w:r>
            <w:proofErr w:type="spellStart"/>
            <w:r>
              <w:rPr>
                <w:rFonts w:eastAsia="Segoe UI"/>
                <w:i/>
                <w:iCs/>
                <w:sz w:val="20"/>
                <w:szCs w:val="20"/>
                <w:lang w:val="pt-BR"/>
              </w:rPr>
              <w:t>anxietas</w:t>
            </w:r>
            <w:proofErr w:type="spellEnd"/>
            <w:r>
              <w:rPr>
                <w:rFonts w:eastAsia="Segoe UI"/>
                <w:sz w:val="20"/>
                <w:szCs w:val="20"/>
                <w:lang w:val="pt-BR"/>
              </w:rPr>
              <w:t xml:space="preserve">, de </w:t>
            </w:r>
            <w:proofErr w:type="spellStart"/>
            <w:r>
              <w:rPr>
                <w:rFonts w:eastAsia="Segoe UI"/>
                <w:i/>
                <w:iCs/>
                <w:sz w:val="20"/>
                <w:szCs w:val="20"/>
                <w:lang w:val="pt-BR"/>
              </w:rPr>
              <w:t>angere</w:t>
            </w:r>
            <w:proofErr w:type="spellEnd"/>
            <w:r>
              <w:rPr>
                <w:rFonts w:eastAsia="Segoe UI"/>
                <w:sz w:val="20"/>
                <w:szCs w:val="20"/>
                <w:lang w:val="pt-BR"/>
              </w:rPr>
              <w:t xml:space="preserve"> ("apertar, sufocar"); Grego </w:t>
            </w:r>
            <w:proofErr w:type="spellStart"/>
            <w:r>
              <w:rPr>
                <w:rFonts w:eastAsia="Segoe UI"/>
                <w:i/>
                <w:iCs/>
                <w:sz w:val="20"/>
                <w:szCs w:val="20"/>
                <w:lang w:val="pt-BR"/>
              </w:rPr>
              <w:t>ánkhō</w:t>
            </w:r>
            <w:proofErr w:type="spellEnd"/>
            <w:r>
              <w:rPr>
                <w:rFonts w:eastAsia="Segoe UI"/>
                <w:sz w:val="20"/>
                <w:szCs w:val="20"/>
                <w:lang w:val="pt-BR"/>
              </w:rPr>
              <w:t xml:space="preserve"> (</w:t>
            </w:r>
            <w:proofErr w:type="spellStart"/>
            <w:r>
              <w:rPr>
                <w:rFonts w:eastAsia="Segoe UI"/>
                <w:sz w:val="20"/>
                <w:szCs w:val="20"/>
                <w:lang w:val="pt-BR"/>
              </w:rPr>
              <w:t>ἄγχω</w:t>
            </w:r>
            <w:proofErr w:type="spellEnd"/>
            <w:r>
              <w:rPr>
                <w:rFonts w:eastAsia="Segoe UI"/>
                <w:sz w:val="20"/>
                <w:szCs w:val="20"/>
                <w:lang w:val="pt-BR"/>
              </w:rPr>
              <w:t>, "estrangular").</w:t>
            </w:r>
          </w:p>
        </w:tc>
        <w:tc>
          <w:tcPr>
            <w:tcW w:w="3488" w:type="dxa"/>
          </w:tcPr>
          <w:p w14:paraId="6A4469C6"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 xml:space="preserve">Estado de hipervigilância e antecipação de ameaça. Caracterizado por hiperatividade da amígdala, </w:t>
            </w:r>
            <w:proofErr w:type="spellStart"/>
            <w:r>
              <w:rPr>
                <w:rFonts w:eastAsia="Segoe UI"/>
                <w:sz w:val="20"/>
                <w:szCs w:val="20"/>
                <w:lang w:val="pt-BR"/>
              </w:rPr>
              <w:t>hipofunção</w:t>
            </w:r>
            <w:proofErr w:type="spellEnd"/>
            <w:r>
              <w:rPr>
                <w:rFonts w:eastAsia="Segoe UI"/>
                <w:sz w:val="20"/>
                <w:szCs w:val="20"/>
                <w:lang w:val="pt-BR"/>
              </w:rPr>
              <w:t xml:space="preserve"> do córtex pré-frontal (regulação) e ativação do eixo HPA.</w:t>
            </w:r>
          </w:p>
        </w:tc>
        <w:tc>
          <w:tcPr>
            <w:tcW w:w="2324" w:type="dxa"/>
          </w:tcPr>
          <w:p w14:paraId="5D9ACFDB"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O Aperto. A vertigem da liberdade; a consciência angustiante do nada e das possibilidades infinitas que definem a existência.</w:t>
            </w:r>
          </w:p>
        </w:tc>
      </w:tr>
      <w:tr w:rsidR="0003312E" w14:paraId="2DDE1E28" w14:textId="77777777" w:rsidTr="000D7094">
        <w:tc>
          <w:tcPr>
            <w:tcW w:w="0" w:type="auto"/>
          </w:tcPr>
          <w:p w14:paraId="0079D26F"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b/>
                <w:bCs/>
                <w:sz w:val="20"/>
                <w:szCs w:val="20"/>
                <w:lang w:val="pt-BR"/>
              </w:rPr>
              <w:t>Eutimia</w:t>
            </w:r>
          </w:p>
        </w:tc>
        <w:tc>
          <w:tcPr>
            <w:tcW w:w="2147" w:type="dxa"/>
          </w:tcPr>
          <w:p w14:paraId="5C8A8DD1"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 xml:space="preserve">Grego </w:t>
            </w:r>
            <w:proofErr w:type="spellStart"/>
            <w:r>
              <w:rPr>
                <w:rFonts w:eastAsia="Segoe UI"/>
                <w:i/>
                <w:iCs/>
                <w:sz w:val="20"/>
                <w:szCs w:val="20"/>
                <w:lang w:val="pt-BR"/>
              </w:rPr>
              <w:t>euthymía</w:t>
            </w:r>
            <w:proofErr w:type="spellEnd"/>
            <w:r>
              <w:rPr>
                <w:rFonts w:eastAsia="Segoe UI"/>
                <w:sz w:val="20"/>
                <w:szCs w:val="20"/>
                <w:lang w:val="pt-BR"/>
              </w:rPr>
              <w:t xml:space="preserve"> (</w:t>
            </w:r>
            <w:proofErr w:type="spellStart"/>
            <w:r>
              <w:rPr>
                <w:rFonts w:eastAsia="Segoe UI"/>
                <w:sz w:val="20"/>
                <w:szCs w:val="20"/>
                <w:lang w:val="pt-BR"/>
              </w:rPr>
              <w:t>εὐθυμί</w:t>
            </w:r>
            <w:proofErr w:type="spellEnd"/>
            <w:r>
              <w:rPr>
                <w:rFonts w:eastAsia="Segoe UI"/>
                <w:sz w:val="20"/>
                <w:szCs w:val="20"/>
                <w:lang w:val="pt-BR"/>
              </w:rPr>
              <w:t xml:space="preserve">α): de </w:t>
            </w:r>
            <w:proofErr w:type="spellStart"/>
            <w:r>
              <w:rPr>
                <w:rFonts w:eastAsia="Segoe UI"/>
                <w:i/>
                <w:iCs/>
                <w:sz w:val="20"/>
                <w:szCs w:val="20"/>
                <w:lang w:val="pt-BR"/>
              </w:rPr>
              <w:t>eû</w:t>
            </w:r>
            <w:proofErr w:type="spellEnd"/>
            <w:r>
              <w:rPr>
                <w:rFonts w:eastAsia="Segoe UI"/>
                <w:sz w:val="20"/>
                <w:szCs w:val="20"/>
                <w:lang w:val="pt-BR"/>
              </w:rPr>
              <w:t xml:space="preserve"> ("bem"/"bom") e </w:t>
            </w:r>
            <w:proofErr w:type="spellStart"/>
            <w:r>
              <w:rPr>
                <w:rFonts w:eastAsia="Segoe UI"/>
                <w:i/>
                <w:iCs/>
                <w:sz w:val="20"/>
                <w:szCs w:val="20"/>
                <w:lang w:val="pt-BR"/>
              </w:rPr>
              <w:t>thymós</w:t>
            </w:r>
            <w:proofErr w:type="spellEnd"/>
            <w:r>
              <w:rPr>
                <w:rFonts w:eastAsia="Segoe UI"/>
                <w:sz w:val="20"/>
                <w:szCs w:val="20"/>
                <w:lang w:val="pt-BR"/>
              </w:rPr>
              <w:t xml:space="preserve"> ("alma", "ânimo" ou "vontade").</w:t>
            </w:r>
          </w:p>
        </w:tc>
        <w:tc>
          <w:tcPr>
            <w:tcW w:w="3488" w:type="dxa"/>
          </w:tcPr>
          <w:p w14:paraId="4A6F6C2F"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 xml:space="preserve">Estado de equilíbrio afetivo e psicológico caracterizado por remissão sintomática, afetos positivos, bem-estar subjetivo e resiliência. </w:t>
            </w:r>
            <w:proofErr w:type="spellStart"/>
            <w:r>
              <w:rPr>
                <w:rFonts w:eastAsia="Segoe UI"/>
                <w:sz w:val="20"/>
                <w:szCs w:val="20"/>
                <w:lang w:val="pt-BR"/>
              </w:rPr>
              <w:t>Neurobiologicamente</w:t>
            </w:r>
            <w:proofErr w:type="spellEnd"/>
            <w:r>
              <w:rPr>
                <w:rFonts w:eastAsia="Segoe UI"/>
                <w:sz w:val="20"/>
                <w:szCs w:val="20"/>
                <w:lang w:val="pt-BR"/>
              </w:rPr>
              <w:t>, envolve integração entre redes pré-frontais (autorregulação), límbicas (emoção) e homeostase neuroquímica.</w:t>
            </w:r>
          </w:p>
        </w:tc>
        <w:tc>
          <w:tcPr>
            <w:tcW w:w="2324" w:type="dxa"/>
          </w:tcPr>
          <w:p w14:paraId="2F962389" w14:textId="77777777" w:rsidR="0003312E" w:rsidRDefault="00000000">
            <w:pPr>
              <w:pStyle w:val="NormalWeb"/>
              <w:shd w:val="clear" w:color="auto" w:fill="FFFFFF"/>
              <w:tabs>
                <w:tab w:val="left" w:pos="425"/>
              </w:tabs>
              <w:spacing w:beforeAutospacing="0" w:after="0" w:afterAutospacing="0" w:line="180" w:lineRule="exact"/>
              <w:rPr>
                <w:rFonts w:eastAsia="Segoe UI"/>
                <w:sz w:val="20"/>
                <w:szCs w:val="20"/>
                <w:lang w:val="pt-BR"/>
              </w:rPr>
            </w:pPr>
            <w:r>
              <w:rPr>
                <w:rFonts w:eastAsia="Segoe UI"/>
                <w:sz w:val="20"/>
                <w:szCs w:val="20"/>
                <w:lang w:val="pt-BR"/>
              </w:rPr>
              <w:t>A Justa Medida. O timoneiro que conduz a alma por mares turbulentos sem se perder no excesso ou na carência; metáfora de uma vida vivida em serenidade ativa e dignidade interior.</w:t>
            </w:r>
          </w:p>
        </w:tc>
      </w:tr>
    </w:tbl>
    <w:p w14:paraId="3D37A0C6" w14:textId="77777777" w:rsidR="0003312E" w:rsidRDefault="0003312E">
      <w:pPr>
        <w:pStyle w:val="NormalWeb"/>
        <w:shd w:val="clear" w:color="auto" w:fill="FFFFFF"/>
        <w:tabs>
          <w:tab w:val="left" w:pos="425"/>
        </w:tabs>
        <w:spacing w:beforeAutospacing="0" w:after="0" w:afterAutospacing="0" w:line="360" w:lineRule="auto"/>
        <w:jc w:val="both"/>
        <w:rPr>
          <w:rFonts w:eastAsia="Segoe UI"/>
          <w:sz w:val="20"/>
          <w:szCs w:val="20"/>
          <w:lang w:val="pt-BR"/>
        </w:rPr>
      </w:pPr>
    </w:p>
    <w:p w14:paraId="1A1FA745" w14:textId="77777777" w:rsidR="0003312E" w:rsidRDefault="0003312E">
      <w:pPr>
        <w:spacing w:after="0" w:line="240" w:lineRule="auto"/>
        <w:rPr>
          <w:rFonts w:ascii="Times New Roman" w:eastAsiaTheme="majorEastAsia" w:hAnsi="Times New Roman" w:cs="Times New Roman"/>
        </w:rPr>
      </w:pPr>
    </w:p>
    <w:p w14:paraId="4B60C5A7" w14:textId="77777777" w:rsidR="0003312E" w:rsidRDefault="0003312E">
      <w:pPr>
        <w:spacing w:after="0" w:line="360" w:lineRule="auto"/>
        <w:ind w:firstLineChars="125" w:firstLine="301"/>
        <w:jc w:val="both"/>
        <w:rPr>
          <w:rFonts w:ascii="Times New Roman" w:hAnsi="Times New Roman" w:cs="Times New Roman"/>
          <w:b/>
          <w:bCs/>
          <w:sz w:val="24"/>
          <w:szCs w:val="24"/>
        </w:rPr>
      </w:pPr>
    </w:p>
    <w:p w14:paraId="5A8B6B5D" w14:textId="77777777" w:rsidR="0003312E" w:rsidRDefault="0003312E">
      <w:pPr>
        <w:spacing w:after="0" w:line="360" w:lineRule="auto"/>
        <w:ind w:firstLineChars="125" w:firstLine="301"/>
        <w:jc w:val="both"/>
        <w:rPr>
          <w:rFonts w:ascii="Times New Roman" w:hAnsi="Times New Roman" w:cs="Times New Roman"/>
          <w:b/>
          <w:bCs/>
          <w:sz w:val="24"/>
          <w:szCs w:val="24"/>
        </w:rPr>
        <w:sectPr w:rsidR="0003312E">
          <w:headerReference w:type="even" r:id="rId116"/>
          <w:headerReference w:type="default" r:id="rId117"/>
          <w:footerReference w:type="even" r:id="rId118"/>
          <w:footerReference w:type="default" r:id="rId119"/>
          <w:headerReference w:type="first" r:id="rId120"/>
          <w:footerReference w:type="first" r:id="rId121"/>
          <w:pgSz w:w="11906" w:h="16838"/>
          <w:pgMar w:top="1701" w:right="1134" w:bottom="1134" w:left="1701" w:header="709" w:footer="709" w:gutter="0"/>
          <w:pgNumType w:start="1"/>
          <w:cols w:space="708"/>
          <w:docGrid w:linePitch="360"/>
        </w:sectPr>
      </w:pPr>
    </w:p>
    <w:p w14:paraId="31A2A481" w14:textId="77777777" w:rsidR="0003312E" w:rsidRDefault="0003312E">
      <w:pPr>
        <w:spacing w:after="0" w:line="360" w:lineRule="auto"/>
        <w:ind w:firstLineChars="125" w:firstLine="301"/>
        <w:jc w:val="both"/>
        <w:rPr>
          <w:rFonts w:ascii="Times New Roman" w:hAnsi="Times New Roman" w:cs="Times New Roman"/>
          <w:b/>
          <w:bCs/>
          <w:sz w:val="24"/>
          <w:szCs w:val="24"/>
        </w:rPr>
      </w:pPr>
    </w:p>
    <w:p w14:paraId="478DBAE9" w14:textId="77777777" w:rsidR="0003312E" w:rsidRDefault="0003312E">
      <w:pPr>
        <w:spacing w:after="0" w:line="360" w:lineRule="auto"/>
        <w:ind w:firstLineChars="125" w:firstLine="301"/>
        <w:jc w:val="both"/>
        <w:rPr>
          <w:rFonts w:ascii="Times New Roman" w:hAnsi="Times New Roman" w:cs="Times New Roman"/>
          <w:b/>
          <w:bCs/>
          <w:sz w:val="24"/>
          <w:szCs w:val="24"/>
        </w:rPr>
        <w:sectPr w:rsidR="0003312E">
          <w:type w:val="continuous"/>
          <w:pgSz w:w="11906" w:h="16838"/>
          <w:pgMar w:top="1417" w:right="1701" w:bottom="1417" w:left="1701" w:header="708" w:footer="708" w:gutter="0"/>
          <w:cols w:space="708"/>
          <w:docGrid w:linePitch="360"/>
        </w:sectPr>
      </w:pPr>
    </w:p>
    <w:p w14:paraId="23485284" w14:textId="77777777" w:rsidR="0003312E" w:rsidRDefault="00000000">
      <w:pPr>
        <w:spacing w:after="0" w:line="360" w:lineRule="auto"/>
        <w:ind w:firstLineChars="125" w:firstLine="301"/>
        <w:jc w:val="both"/>
        <w:rPr>
          <w:rFonts w:ascii="Times New Roman" w:hAnsi="Times New Roman" w:cs="Times New Roman"/>
          <w:b/>
          <w:bCs/>
          <w:sz w:val="24"/>
          <w:szCs w:val="24"/>
        </w:rPr>
      </w:pPr>
      <w:r>
        <w:rPr>
          <w:rFonts w:ascii="Times New Roman" w:hAnsi="Times New Roman" w:cs="Times New Roman"/>
          <w:b/>
          <w:bCs/>
          <w:sz w:val="24"/>
          <w:szCs w:val="24"/>
        </w:rPr>
        <w:t>ORELHA ESQUERDA</w:t>
      </w:r>
    </w:p>
    <w:p w14:paraId="28924B93" w14:textId="77777777" w:rsidR="0003312E" w:rsidRDefault="00000000">
      <w:pPr>
        <w:spacing w:after="0" w:line="360" w:lineRule="auto"/>
        <w:ind w:firstLineChars="125" w:firstLine="275"/>
        <w:jc w:val="both"/>
        <w:rPr>
          <w:rFonts w:ascii="Times New Roman" w:hAnsi="Times New Roman" w:cs="Times New Roman"/>
        </w:rPr>
      </w:pPr>
      <w:r>
        <w:rPr>
          <w:rFonts w:ascii="Times New Roman" w:hAnsi="Times New Roman" w:cs="Times New Roman"/>
        </w:rPr>
        <w:t>Por que chamamos histeria a um mal que supostamente vinha de um útero errante? O que o delírio, a mente que "sai do sulco", tem a ver com Van Gogh?</w:t>
      </w:r>
      <w:r>
        <w:rPr>
          <w:rFonts w:ascii="Times New Roman" w:hAnsi="Times New Roman" w:cs="Times New Roman"/>
        </w:rPr>
        <w:br/>
        <w:t>Este livro não é sobre doenças. É sobre as histórias secretas que carregamos na linguagem. </w:t>
      </w:r>
      <w:proofErr w:type="spellStart"/>
      <w:r>
        <w:rPr>
          <w:rFonts w:ascii="Times New Roman" w:hAnsi="Times New Roman" w:cs="Times New Roman"/>
          <w:i/>
          <w:iCs/>
        </w:rPr>
        <w:t>Neuroetimologia</w:t>
      </w:r>
      <w:proofErr w:type="spellEnd"/>
      <w:r>
        <w:rPr>
          <w:rFonts w:ascii="Times New Roman" w:hAnsi="Times New Roman" w:cs="Times New Roman"/>
        </w:rPr>
        <w:t> é uma viagem fascinante pela origem de dez palavras - como êxtase, melancolia e frenesi - que emolduram nossa consciência.</w:t>
      </w:r>
      <w:r>
        <w:rPr>
          <w:rFonts w:ascii="Times New Roman" w:hAnsi="Times New Roman" w:cs="Times New Roman"/>
        </w:rPr>
        <w:br/>
        <w:t xml:space="preserve">Em cada capítulo, a </w:t>
      </w:r>
      <w:proofErr w:type="spellStart"/>
      <w:r>
        <w:rPr>
          <w:rFonts w:ascii="Times New Roman" w:hAnsi="Times New Roman" w:cs="Times New Roman"/>
        </w:rPr>
        <w:t>Profa</w:t>
      </w:r>
      <w:proofErr w:type="spellEnd"/>
      <w:r>
        <w:rPr>
          <w:rFonts w:ascii="Times New Roman" w:hAnsi="Times New Roman" w:cs="Times New Roman"/>
        </w:rPr>
        <w:t xml:space="preserve"> Marleide da Mota Gomes nos guia por uma paisagem interdisciplinar, onde a neurociência dialoga com a arte, a filosofia e a história. Prepare-se para descobrir que cada termo é um "fóssil de poesia", uma narrativa viva que ainda hoje define como entendemos a mente. A obra se apresenta como um ensaio acessível, oferecendo uma contribuição original ao examinar questões de </w:t>
      </w:r>
      <w:proofErr w:type="spellStart"/>
      <w:r>
        <w:rPr>
          <w:rFonts w:ascii="Times New Roman" w:hAnsi="Times New Roman" w:cs="Times New Roman"/>
        </w:rPr>
        <w:t>neurodivergência</w:t>
      </w:r>
      <w:proofErr w:type="spellEnd"/>
      <w:r>
        <w:rPr>
          <w:rFonts w:ascii="Times New Roman" w:hAnsi="Times New Roman" w:cs="Times New Roman"/>
        </w:rPr>
        <w:t> por um viés inesperado: o da jornada das próprias palavras.</w:t>
      </w:r>
      <w:r>
        <w:rPr>
          <w:rFonts w:ascii="Times New Roman" w:hAnsi="Times New Roman" w:cs="Times New Roman"/>
        </w:rPr>
        <w:br/>
        <w:t>Uma leitura que transformará para sempre a forma como você enxerga a linguagem — e a si mesmo. A jornada começa aqui.</w:t>
      </w:r>
    </w:p>
    <w:p w14:paraId="0F6A1408" w14:textId="77777777" w:rsidR="0003312E" w:rsidRDefault="00000000">
      <w:pPr>
        <w:spacing w:after="0" w:line="360" w:lineRule="auto"/>
        <w:ind w:firstLineChars="125" w:firstLine="275"/>
        <w:jc w:val="both"/>
        <w:rPr>
          <w:rFonts w:ascii="Times New Roman" w:hAnsi="Times New Roman" w:cs="Times New Roman"/>
          <w:b/>
          <w:bCs/>
          <w:sz w:val="24"/>
          <w:szCs w:val="24"/>
        </w:rPr>
      </w:pPr>
      <w:r>
        <w:rPr>
          <w:rFonts w:ascii="Times New Roman" w:hAnsi="Times New Roman" w:cs="Times New Roman"/>
        </w:rPr>
        <w:t xml:space="preserve"> </w:t>
      </w:r>
      <w:r>
        <w:rPr>
          <w:rFonts w:ascii="Times New Roman" w:hAnsi="Times New Roman" w:cs="Times New Roman"/>
          <w:b/>
          <w:bCs/>
          <w:sz w:val="24"/>
          <w:szCs w:val="24"/>
        </w:rPr>
        <w:t>ORELHA DIREITA</w:t>
      </w:r>
    </w:p>
    <w:p w14:paraId="738F3146" w14:textId="77777777" w:rsidR="0003312E" w:rsidRDefault="00000000">
      <w:pPr>
        <w:spacing w:after="0" w:line="360" w:lineRule="auto"/>
        <w:ind w:firstLineChars="125" w:firstLine="300"/>
        <w:jc w:val="both"/>
        <w:rPr>
          <w:rFonts w:ascii="Times New Roman" w:hAnsi="Times New Roman" w:cs="Times New Roman"/>
          <w:iCs/>
          <w:sz w:val="24"/>
          <w:szCs w:val="24"/>
        </w:rPr>
      </w:pPr>
      <w:r>
        <w:rPr>
          <w:rFonts w:ascii="Times New Roman" w:hAnsi="Times New Roman" w:cs="Times New Roman"/>
          <w:noProof/>
          <w:sz w:val="24"/>
          <w:szCs w:val="24"/>
        </w:rPr>
        <w:drawing>
          <wp:inline distT="0" distB="0" distL="0" distR="0" wp14:anchorId="1983E856" wp14:editId="7474F618">
            <wp:extent cx="1195070" cy="1295400"/>
            <wp:effectExtent l="0" t="0" r="5080" b="0"/>
            <wp:docPr id="104429297"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29297" name="Imagem 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0" y="0"/>
                      <a:ext cx="1200974" cy="1301548"/>
                    </a:xfrm>
                    <a:prstGeom prst="rect">
                      <a:avLst/>
                    </a:prstGeom>
                    <a:noFill/>
                    <a:ln>
                      <a:noFill/>
                    </a:ln>
                  </pic:spPr>
                </pic:pic>
              </a:graphicData>
            </a:graphic>
          </wp:inline>
        </w:drawing>
      </w:r>
      <w:r>
        <w:rPr>
          <w:rFonts w:ascii="Times New Roman" w:hAnsi="Times New Roman" w:cs="Times New Roman"/>
          <w:iCs/>
          <w:sz w:val="24"/>
          <w:szCs w:val="24"/>
        </w:rPr>
        <w:t xml:space="preserve"> </w:t>
      </w:r>
    </w:p>
    <w:p w14:paraId="57623760" w14:textId="77777777" w:rsidR="0003312E" w:rsidRDefault="00000000">
      <w:pPr>
        <w:spacing w:after="0" w:line="240" w:lineRule="auto"/>
        <w:ind w:firstLineChars="125" w:firstLine="250"/>
        <w:jc w:val="both"/>
        <w:rPr>
          <w:rFonts w:ascii="Times New Roman" w:hAnsi="Times New Roman" w:cs="Times New Roman"/>
          <w:iCs/>
          <w:sz w:val="20"/>
          <w:szCs w:val="20"/>
        </w:rPr>
      </w:pPr>
      <w:r>
        <w:rPr>
          <w:rFonts w:ascii="Times New Roman" w:hAnsi="Times New Roman" w:cs="Times New Roman"/>
          <w:iCs/>
          <w:sz w:val="20"/>
          <w:szCs w:val="20"/>
        </w:rPr>
        <w:t>Marleide da Mota Gomes é professora titular aposentada da Faculdade de Medicina da UFRJ. Graduada em Medicina pela UFRJ e Direito pela UNESA.</w:t>
      </w:r>
    </w:p>
    <w:p w14:paraId="6DF33BE8" w14:textId="77777777" w:rsidR="0003312E" w:rsidRDefault="00000000">
      <w:pPr>
        <w:spacing w:after="0" w:line="240" w:lineRule="auto"/>
        <w:ind w:firstLineChars="125" w:firstLine="250"/>
        <w:jc w:val="both"/>
        <w:rPr>
          <w:rFonts w:ascii="Times New Roman" w:hAnsi="Times New Roman" w:cs="Times New Roman"/>
          <w:iCs/>
          <w:sz w:val="20"/>
          <w:szCs w:val="20"/>
        </w:rPr>
      </w:pPr>
      <w:r>
        <w:rPr>
          <w:rFonts w:ascii="Times New Roman" w:hAnsi="Times New Roman" w:cs="Times New Roman"/>
          <w:iCs/>
          <w:sz w:val="20"/>
          <w:szCs w:val="20"/>
        </w:rPr>
        <w:t xml:space="preserve">Tem formação extensa como neurologista desde residência, especialização, mestrado, doutorado e pós-doutorado pela UFRJ, especializações em neurofisiologia clínica e sono, além de mestrado em Design, </w:t>
      </w:r>
      <w:proofErr w:type="spellStart"/>
      <w:r>
        <w:rPr>
          <w:rFonts w:ascii="Times New Roman" w:hAnsi="Times New Roman" w:cs="Times New Roman"/>
          <w:iCs/>
          <w:sz w:val="20"/>
          <w:szCs w:val="20"/>
        </w:rPr>
        <w:t>Measurement</w:t>
      </w:r>
      <w:proofErr w:type="spellEnd"/>
      <w:r>
        <w:rPr>
          <w:rFonts w:ascii="Times New Roman" w:hAnsi="Times New Roman" w:cs="Times New Roman"/>
          <w:iCs/>
          <w:sz w:val="20"/>
          <w:szCs w:val="20"/>
        </w:rPr>
        <w:t xml:space="preserve"> </w:t>
      </w:r>
      <w:proofErr w:type="spellStart"/>
      <w:r>
        <w:rPr>
          <w:rFonts w:ascii="Times New Roman" w:hAnsi="Times New Roman" w:cs="Times New Roman"/>
          <w:iCs/>
          <w:sz w:val="20"/>
          <w:szCs w:val="20"/>
        </w:rPr>
        <w:t>and</w:t>
      </w:r>
      <w:proofErr w:type="spellEnd"/>
      <w:r>
        <w:rPr>
          <w:rFonts w:ascii="Times New Roman" w:hAnsi="Times New Roman" w:cs="Times New Roman"/>
          <w:iCs/>
          <w:sz w:val="20"/>
          <w:szCs w:val="20"/>
        </w:rPr>
        <w:t xml:space="preserve"> </w:t>
      </w:r>
      <w:proofErr w:type="spellStart"/>
      <w:r>
        <w:rPr>
          <w:rFonts w:ascii="Times New Roman" w:hAnsi="Times New Roman" w:cs="Times New Roman"/>
          <w:iCs/>
          <w:sz w:val="20"/>
          <w:szCs w:val="20"/>
        </w:rPr>
        <w:t>Evaluation</w:t>
      </w:r>
      <w:proofErr w:type="spellEnd"/>
      <w:r>
        <w:rPr>
          <w:rFonts w:ascii="Times New Roman" w:hAnsi="Times New Roman" w:cs="Times New Roman"/>
          <w:iCs/>
          <w:sz w:val="20"/>
          <w:szCs w:val="20"/>
        </w:rPr>
        <w:t xml:space="preserve"> pela Universidade </w:t>
      </w:r>
      <w:proofErr w:type="spellStart"/>
      <w:r>
        <w:rPr>
          <w:rFonts w:ascii="Times New Roman" w:hAnsi="Times New Roman" w:cs="Times New Roman"/>
          <w:iCs/>
          <w:sz w:val="20"/>
          <w:szCs w:val="20"/>
        </w:rPr>
        <w:t>MacMaster</w:t>
      </w:r>
      <w:proofErr w:type="spellEnd"/>
      <w:r>
        <w:rPr>
          <w:rFonts w:ascii="Times New Roman" w:hAnsi="Times New Roman" w:cs="Times New Roman"/>
          <w:iCs/>
          <w:sz w:val="20"/>
          <w:szCs w:val="20"/>
        </w:rPr>
        <w:t>, Canadá. Tem também pós-graduação em Psiquiatria e Humanidades Médicas (História da Arte e Filosofia). Obteve o título de livre-docente em Neurologia pela antiga Faculdade de Medicina Gama Filho.</w:t>
      </w:r>
    </w:p>
    <w:p w14:paraId="274E31E9" w14:textId="77777777" w:rsidR="0003312E" w:rsidRDefault="00000000">
      <w:pPr>
        <w:spacing w:after="0" w:line="240" w:lineRule="auto"/>
        <w:ind w:firstLineChars="125" w:firstLine="250"/>
        <w:jc w:val="both"/>
        <w:rPr>
          <w:rFonts w:ascii="Times New Roman" w:hAnsi="Times New Roman" w:cs="Times New Roman"/>
          <w:iCs/>
          <w:sz w:val="20"/>
          <w:szCs w:val="20"/>
        </w:rPr>
      </w:pPr>
      <w:r>
        <w:rPr>
          <w:rFonts w:ascii="Times New Roman" w:hAnsi="Times New Roman" w:cs="Times New Roman"/>
          <w:iCs/>
          <w:sz w:val="20"/>
          <w:szCs w:val="20"/>
        </w:rPr>
        <w:t>É membro emérito das Academias Brasileiras de Neurologia, Neurologia-RJ e Academia Brasileira de Medicina e Reabilitação. Membro titular da Academia Brasileira de Médicos Escritores (posse em novembro 2025). No momento, é professora permanente do Programa de Psiquiatria e Saúde Mental (PROPSAM) do Instituto de Psiquiatria da UFRJ e de seu Laboratório de História da Psiquiatria, Neurologia e Saúde Mental.</w:t>
      </w:r>
    </w:p>
    <w:p w14:paraId="7DDD9095" w14:textId="77777777" w:rsidR="0003312E" w:rsidRDefault="00000000">
      <w:pPr>
        <w:spacing w:after="0" w:line="240" w:lineRule="auto"/>
        <w:ind w:firstLineChars="125" w:firstLine="250"/>
        <w:jc w:val="both"/>
        <w:rPr>
          <w:rFonts w:ascii="Times New Roman" w:hAnsi="Times New Roman" w:cs="Times New Roman"/>
          <w:iCs/>
          <w:sz w:val="20"/>
          <w:szCs w:val="20"/>
        </w:rPr>
      </w:pPr>
      <w:r>
        <w:rPr>
          <w:rFonts w:ascii="Times New Roman" w:hAnsi="Times New Roman" w:cs="Times New Roman"/>
          <w:iCs/>
          <w:sz w:val="20"/>
          <w:szCs w:val="20"/>
        </w:rPr>
        <w:t>Tem trabalhos publicados nas áreas de Epilepsia e Sono, bem como em Epidemiologia, História da Neurologia e da Psiquiatria.</w:t>
      </w:r>
    </w:p>
    <w:p w14:paraId="38009545" w14:textId="77777777" w:rsidR="0003312E" w:rsidRDefault="00000000">
      <w:pPr>
        <w:spacing w:after="0" w:line="240" w:lineRule="auto"/>
        <w:ind w:firstLineChars="125" w:firstLine="250"/>
        <w:jc w:val="both"/>
        <w:rPr>
          <w:rFonts w:ascii="Times New Roman" w:hAnsi="Times New Roman" w:cs="Times New Roman"/>
          <w:sz w:val="20"/>
          <w:szCs w:val="20"/>
        </w:rPr>
      </w:pPr>
      <w:r>
        <w:rPr>
          <w:rFonts w:ascii="Times New Roman" w:hAnsi="Times New Roman" w:cs="Times New Roman"/>
          <w:iCs/>
          <w:sz w:val="20"/>
          <w:szCs w:val="20"/>
        </w:rPr>
        <w:t xml:space="preserve">Recentemente, tem se voltado para a </w:t>
      </w:r>
      <w:proofErr w:type="spellStart"/>
      <w:r>
        <w:rPr>
          <w:rFonts w:ascii="Times New Roman" w:hAnsi="Times New Roman" w:cs="Times New Roman"/>
          <w:iCs/>
          <w:sz w:val="20"/>
          <w:szCs w:val="20"/>
        </w:rPr>
        <w:t>Neurocultura</w:t>
      </w:r>
      <w:proofErr w:type="spellEnd"/>
      <w:r>
        <w:rPr>
          <w:rFonts w:ascii="Times New Roman" w:hAnsi="Times New Roman" w:cs="Times New Roman"/>
          <w:iCs/>
          <w:sz w:val="20"/>
          <w:szCs w:val="20"/>
        </w:rPr>
        <w:t xml:space="preserve"> e as Humanidades Médicas.CV: </w:t>
      </w:r>
      <w:hyperlink r:id="rId123" w:history="1">
        <w:r>
          <w:rPr>
            <w:rStyle w:val="Hyperlink"/>
            <w:rFonts w:ascii="Times New Roman" w:hAnsi="Times New Roman" w:cs="Times New Roman"/>
            <w:iCs/>
            <w:color w:val="auto"/>
            <w:sz w:val="20"/>
            <w:szCs w:val="20"/>
          </w:rPr>
          <w:t>http://lattes.cnpq.br/1938883394582984</w:t>
        </w:r>
      </w:hyperlink>
    </w:p>
    <w:p w14:paraId="096B5CB3" w14:textId="77777777" w:rsidR="0003312E" w:rsidRDefault="0003312E">
      <w:pPr>
        <w:spacing w:after="0" w:line="360" w:lineRule="auto"/>
        <w:ind w:firstLineChars="125" w:firstLine="250"/>
        <w:jc w:val="both"/>
        <w:rPr>
          <w:rFonts w:ascii="Times New Roman" w:hAnsi="Times New Roman" w:cs="Times New Roman"/>
          <w:sz w:val="20"/>
          <w:szCs w:val="20"/>
        </w:rPr>
        <w:sectPr w:rsidR="0003312E">
          <w:type w:val="continuous"/>
          <w:pgSz w:w="11906" w:h="16838"/>
          <w:pgMar w:top="1417" w:right="1701" w:bottom="1417" w:left="1701" w:header="708" w:footer="708" w:gutter="0"/>
          <w:cols w:num="2" w:space="708"/>
          <w:docGrid w:linePitch="360"/>
        </w:sectPr>
      </w:pPr>
    </w:p>
    <w:p w14:paraId="76CFF054" w14:textId="77777777" w:rsidR="0003312E" w:rsidRDefault="00000000">
      <w:pPr>
        <w:spacing w:after="0" w:line="360" w:lineRule="auto"/>
        <w:ind w:firstLineChars="125" w:firstLine="250"/>
        <w:jc w:val="both"/>
        <w:rPr>
          <w:rFonts w:ascii="Times New Roman" w:hAnsi="Times New Roman" w:cs="Times New Roman"/>
          <w:sz w:val="20"/>
          <w:szCs w:val="20"/>
        </w:rPr>
      </w:pPr>
      <w:r>
        <w:rPr>
          <w:rFonts w:ascii="Times New Roman" w:hAnsi="Times New Roman" w:cs="Times New Roman"/>
          <w:sz w:val="20"/>
          <w:szCs w:val="20"/>
        </w:rPr>
        <w:t xml:space="preserve"> </w:t>
      </w:r>
    </w:p>
    <w:p w14:paraId="2243B44A" w14:textId="77777777" w:rsidR="0003312E" w:rsidRDefault="0003312E">
      <w:pPr>
        <w:spacing w:after="0" w:line="360" w:lineRule="auto"/>
        <w:ind w:firstLineChars="125" w:firstLine="300"/>
        <w:jc w:val="both"/>
        <w:rPr>
          <w:rFonts w:ascii="Times New Roman" w:hAnsi="Times New Roman" w:cs="Times New Roman"/>
          <w:sz w:val="24"/>
          <w:szCs w:val="24"/>
        </w:rPr>
      </w:pPr>
    </w:p>
    <w:p w14:paraId="1A683268" w14:textId="77777777" w:rsidR="0003312E" w:rsidRDefault="00000000">
      <w:pPr>
        <w:spacing w:after="0" w:line="360" w:lineRule="auto"/>
        <w:ind w:firstLineChars="125" w:firstLine="301"/>
        <w:jc w:val="both"/>
        <w:rPr>
          <w:rFonts w:ascii="Times New Roman" w:hAnsi="Times New Roman" w:cs="Times New Roman"/>
          <w:b/>
          <w:bCs/>
          <w:sz w:val="24"/>
          <w:szCs w:val="24"/>
          <w:lang w:val="en-US"/>
        </w:rPr>
      </w:pPr>
      <w:r>
        <w:rPr>
          <w:rFonts w:ascii="Times New Roman" w:hAnsi="Times New Roman" w:cs="Times New Roman"/>
          <w:b/>
          <w:bCs/>
          <w:sz w:val="24"/>
          <w:szCs w:val="24"/>
        </w:rPr>
        <w:lastRenderedPageBreak/>
        <w:t xml:space="preserve"> </w:t>
      </w:r>
      <w:r>
        <w:rPr>
          <w:rFonts w:ascii="Times New Roman" w:hAnsi="Times New Roman" w:cs="Times New Roman"/>
          <w:noProof/>
          <w:sz w:val="24"/>
          <w:szCs w:val="24"/>
        </w:rPr>
        <w:drawing>
          <wp:inline distT="0" distB="0" distL="0" distR="0" wp14:anchorId="4611E22A" wp14:editId="371E5161">
            <wp:extent cx="5400040" cy="4432300"/>
            <wp:effectExtent l="0" t="0" r="10160" b="2540"/>
            <wp:docPr id="948884663"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884663" name="Imagem 2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0" y="0"/>
                      <a:ext cx="5400040" cy="4432300"/>
                    </a:xfrm>
                    <a:prstGeom prst="rect">
                      <a:avLst/>
                    </a:prstGeom>
                    <a:noFill/>
                    <a:ln>
                      <a:noFill/>
                    </a:ln>
                  </pic:spPr>
                </pic:pic>
              </a:graphicData>
            </a:graphic>
          </wp:inline>
        </w:drawing>
      </w:r>
    </w:p>
    <w:p w14:paraId="2A628A1D" w14:textId="77777777" w:rsidR="0003312E" w:rsidRDefault="00000000">
      <w:pPr>
        <w:spacing w:after="0" w:line="360" w:lineRule="auto"/>
        <w:ind w:firstLineChars="125" w:firstLine="300"/>
        <w:jc w:val="both"/>
        <w:rPr>
          <w:rFonts w:ascii="Times New Roman" w:hAnsi="Times New Roman" w:cs="Times New Roman"/>
          <w:i/>
          <w:iCs/>
          <w:sz w:val="24"/>
          <w:szCs w:val="24"/>
        </w:rPr>
      </w:pPr>
      <w:r>
        <w:rPr>
          <w:rFonts w:ascii="Times New Roman" w:hAnsi="Times New Roman" w:cs="Times New Roman"/>
          <w:noProof/>
          <w:sz w:val="24"/>
          <w:szCs w:val="24"/>
          <w14:ligatures w14:val="none"/>
        </w:rPr>
        <mc:AlternateContent>
          <mc:Choice Requires="wps">
            <w:drawing>
              <wp:anchor distT="0" distB="0" distL="114300" distR="114300" simplePos="0" relativeHeight="251660288" behindDoc="0" locked="0" layoutInCell="1" allowOverlap="1" wp14:anchorId="2124D433" wp14:editId="1CED79D4">
                <wp:simplePos x="0" y="0"/>
                <wp:positionH relativeFrom="column">
                  <wp:posOffset>91440</wp:posOffset>
                </wp:positionH>
                <wp:positionV relativeFrom="paragraph">
                  <wp:posOffset>1384300</wp:posOffset>
                </wp:positionV>
                <wp:extent cx="5264150" cy="2726055"/>
                <wp:effectExtent l="0" t="0" r="8890" b="1905"/>
                <wp:wrapNone/>
                <wp:docPr id="2061885375" name="Caixa de Texto 21"/>
                <wp:cNvGraphicFramePr/>
                <a:graphic xmlns:a="http://schemas.openxmlformats.org/drawingml/2006/main">
                  <a:graphicData uri="http://schemas.microsoft.com/office/word/2010/wordprocessingShape">
                    <wps:wsp>
                      <wps:cNvSpPr txBox="1"/>
                      <wps:spPr>
                        <a:xfrm>
                          <a:off x="0" y="0"/>
                          <a:ext cx="5264150" cy="2726055"/>
                        </a:xfrm>
                        <a:prstGeom prst="rect">
                          <a:avLst/>
                        </a:prstGeom>
                        <a:solidFill>
                          <a:schemeClr val="lt1"/>
                        </a:solidFill>
                        <a:ln w="6350">
                          <a:noFill/>
                        </a:ln>
                      </wps:spPr>
                      <wps:txbx>
                        <w:txbxContent>
                          <w:p w14:paraId="2C4FB40E" w14:textId="77777777" w:rsidR="0003312E" w:rsidRDefault="00000000" w:rsidP="000D7094">
                            <w:pPr>
                              <w:jc w:val="both"/>
                              <w:rPr>
                                <w:rFonts w:ascii="Times New Roman" w:eastAsia="SimSun" w:hAnsi="Times New Roman" w:cs="Times New Roman"/>
                                <w:szCs w:val="24"/>
                                <w:lang w:eastAsia="zh-CN"/>
                              </w:rPr>
                            </w:pPr>
                            <w:proofErr w:type="spellStart"/>
                            <w:r>
                              <w:rPr>
                                <w:rFonts w:ascii="Times New Roman" w:eastAsia="SimSun" w:hAnsi="Times New Roman" w:cs="Times New Roman"/>
                                <w:i/>
                                <w:iCs/>
                                <w:szCs w:val="24"/>
                                <w:lang w:eastAsia="zh-CN"/>
                              </w:rPr>
                              <w:t>Neuroetimologia</w:t>
                            </w:r>
                            <w:proofErr w:type="spellEnd"/>
                            <w:r>
                              <w:rPr>
                                <w:rFonts w:ascii="Times New Roman" w:eastAsia="SimSun" w:hAnsi="Times New Roman" w:cs="Times New Roman"/>
                                <w:szCs w:val="24"/>
                                <w:lang w:eastAsia="zh-CN"/>
                              </w:rPr>
                              <w:t xml:space="preserve"> desvenda como termos que definem estados mentais - de hipnose a eutimia - emergem de teorias médicas esquecidas, metáforas culturais e percepções ancestrais. Há uma articulação interdisciplinar consistente entre Neurociências, História e Artes, fugindo do lugar-comum para examinar temas contemporâneos cruciais, como as questões de </w:t>
                            </w:r>
                            <w:proofErr w:type="spellStart"/>
                            <w:r>
                              <w:rPr>
                                <w:rFonts w:ascii="Times New Roman" w:eastAsia="SimSun" w:hAnsi="Times New Roman" w:cs="Times New Roman"/>
                                <w:szCs w:val="24"/>
                                <w:lang w:eastAsia="zh-CN"/>
                              </w:rPr>
                              <w:t>neurodivergência</w:t>
                            </w:r>
                            <w:proofErr w:type="spellEnd"/>
                            <w:r>
                              <w:rPr>
                                <w:rFonts w:ascii="Times New Roman" w:eastAsia="SimSun" w:hAnsi="Times New Roman" w:cs="Times New Roman"/>
                                <w:szCs w:val="24"/>
                                <w:lang w:eastAsia="zh-CN"/>
                              </w:rPr>
                              <w:t>.</w:t>
                            </w:r>
                          </w:p>
                          <w:p w14:paraId="08BB519C" w14:textId="77777777" w:rsidR="0003312E" w:rsidRDefault="00000000" w:rsidP="000D7094">
                            <w:pPr>
                              <w:jc w:val="both"/>
                              <w:rPr>
                                <w:rFonts w:ascii="Times New Roman" w:eastAsia="SimSun" w:hAnsi="Times New Roman" w:cs="Times New Roman"/>
                                <w:szCs w:val="24"/>
                                <w:lang w:eastAsia="zh-CN"/>
                              </w:rPr>
                            </w:pPr>
                            <w:r>
                              <w:rPr>
                                <w:rFonts w:ascii="Times New Roman" w:eastAsia="SimSun" w:hAnsi="Times New Roman" w:cs="Times New Roman"/>
                                <w:szCs w:val="24"/>
                                <w:lang w:eastAsia="zh-CN"/>
                              </w:rPr>
                              <w:t>O cérebro é apresentado como um território onde linguagem e pensamento se fundem. Cada palavra é um jardim de interpretações, cujas camadas históricas sustentam nossos sentidos atuais. Através de figuras icônicas, a autora reconstrói a trajetória desses conceitos, mostrando que a linguagem é a bússola da mente. Decifrá-la nos permite uma compreensão mais profunda tanto da ciência quanto da experiência humana.</w:t>
                            </w:r>
                          </w:p>
                          <w:p w14:paraId="15367CF4" w14:textId="77777777" w:rsidR="0003312E" w:rsidRDefault="00000000" w:rsidP="000D7094">
                            <w:pPr>
                              <w:jc w:val="both"/>
                            </w:pPr>
                            <w:r>
                              <w:rPr>
                                <w:rFonts w:ascii="Times New Roman" w:eastAsia="SimSun" w:hAnsi="Times New Roman" w:cs="Times New Roman"/>
                                <w:szCs w:val="24"/>
                                <w:lang w:eastAsia="zh-CN"/>
                              </w:rPr>
                              <w:t>Mais do que uma jornada intelectual, este ensaio acessível é um convite para ver a linguagem clínica como um arquivo vivo, oferecendo uma contribuição original para todos os interessados nos mistérios da mente.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124D433" id="Caixa de Texto 21" o:spid="_x0000_s1027" type="#_x0000_t202" style="position:absolute;left:0;text-align:left;margin-left:7.2pt;margin-top:109pt;width:414.5pt;height:214.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TYFgIAACIEAAAOAAAAZHJzL2Uyb0RvYy54bWysU02P2jAQvVfqf7B8L4EU2BYRVpQVVSXU&#10;XYlWPRvHJpZsj2sbEvrrO3b46sep6sWZ8UzezLx5nj92RpOj8EGBrehoMKREWA61svuKfv2yfvOO&#10;khCZrZkGKyp6EoE+Ll6/mrduJkpoQNfCEwSxYda6ijYxullRBN4Iw8IAnLAYlOANi+j6fVF71iK6&#10;0UU5HE6LFnztPHARAt4+9UG6yPhSCh6fpQwiEl1R7C3m0+dzl85iMWezvWeuUfzcBvuHLgxTFote&#10;oZ5YZOTg1R9QRnEPAWQccDAFSKm4yDPgNKPhb9NsG+ZEngXJCe5KU/h/sPzzcetePIndB+hwgYmQ&#10;1oVZwMs0Tye9SV/slGAcKTxdaRNdJBwvJ+V0PJpgiGOsfCinw8kk4RS3350P8aMAQ5JRUY97yXSx&#10;4ybEPvWSkqoF0KpeK62zk7QgVtqTI8Mt6pibRPBfsrQlbUWnb7GP9JOF9HuPrC32chsqWbHbdUTV&#10;dwPvoD4hDx56iQTH1wp73bAQX5hHTeB8qPP4jIfUgLXgbFHSgP/xt/uUj6vCKCUtaqyi4fuBeUGJ&#10;/mRxie9H43ESZXbGk4cSHX8f2d1H7MGsAAkY4YtyPJspP+qLKT2Yb/gclqkqhpjlWLui8WKuYq98&#10;fE5cLJc5CWXoWNzYreMJuudueYggVV5MYqvn5kwiCjGv9vxoktLv/Zx1e9qLnwAAAP//AwBQSwME&#10;FAAGAAgAAAAhAOwLMffhAAAACgEAAA8AAABkcnMvZG93bnJldi54bWxMj81OwzAQhO9IvIO1SFwQ&#10;ddqENgpxKoT4kbjR0CJubrwkEfE6it0kvD3LCY4z+2l2Jt/OthMjDr51pGC5iEAgVc60VCt4Kx+v&#10;UxA+aDK6c4QKvtHDtjg/y3Vm3ESvOO5CLTiEfKYVNCH0mZS+atBqv3A9Et8+3WB1YDnU0gx64nDb&#10;yVUUraXVLfGHRvd432D1tTtZBR9X9fuLn5/2U3wT9w/PY7k5mFKpy4v57hZEwDn8wfBbn6tDwZ2O&#10;7kTGi451kjCpYLVMeRMDaRKzc1SwTjYxyCKX/ycUPwAAAP//AwBQSwECLQAUAAYACAAAACEAtoM4&#10;kv4AAADhAQAAEwAAAAAAAAAAAAAAAAAAAAAAW0NvbnRlbnRfVHlwZXNdLnhtbFBLAQItABQABgAI&#10;AAAAIQA4/SH/1gAAAJQBAAALAAAAAAAAAAAAAAAAAC8BAABfcmVscy8ucmVsc1BLAQItABQABgAI&#10;AAAAIQDzqbTYFgIAACIEAAAOAAAAAAAAAAAAAAAAAC4CAABkcnMvZTJvRG9jLnhtbFBLAQItABQA&#10;BgAIAAAAIQDsCzH34QAAAAoBAAAPAAAAAAAAAAAAAAAAAHAEAABkcnMvZG93bnJldi54bWxQSwUG&#10;AAAAAAQABADzAAAAfgUAAAAA&#10;" fillcolor="white [3201]" stroked="f" strokeweight=".5pt">
                <v:textbox>
                  <w:txbxContent>
                    <w:p w14:paraId="2C4FB40E" w14:textId="77777777" w:rsidR="0003312E" w:rsidRDefault="00000000" w:rsidP="000D7094">
                      <w:pPr>
                        <w:jc w:val="both"/>
                        <w:rPr>
                          <w:rFonts w:ascii="Times New Roman" w:eastAsia="SimSun" w:hAnsi="Times New Roman" w:cs="Times New Roman"/>
                          <w:szCs w:val="24"/>
                          <w:lang w:eastAsia="zh-CN"/>
                        </w:rPr>
                      </w:pPr>
                      <w:proofErr w:type="spellStart"/>
                      <w:r>
                        <w:rPr>
                          <w:rFonts w:ascii="Times New Roman" w:eastAsia="SimSun" w:hAnsi="Times New Roman" w:cs="Times New Roman"/>
                          <w:i/>
                          <w:iCs/>
                          <w:szCs w:val="24"/>
                          <w:lang w:eastAsia="zh-CN"/>
                        </w:rPr>
                        <w:t>Neuroetimologia</w:t>
                      </w:r>
                      <w:proofErr w:type="spellEnd"/>
                      <w:r>
                        <w:rPr>
                          <w:rFonts w:ascii="Times New Roman" w:eastAsia="SimSun" w:hAnsi="Times New Roman" w:cs="Times New Roman"/>
                          <w:szCs w:val="24"/>
                          <w:lang w:eastAsia="zh-CN"/>
                        </w:rPr>
                        <w:t xml:space="preserve"> desvenda como termos que definem estados mentais - de hipnose a eutimia - emergem de teorias médicas esquecidas, metáforas culturais e percepções ancestrais. Há uma articulação interdisciplinar consistente entre Neurociências, História e Artes, fugindo do lugar-comum para examinar temas contemporâneos cruciais, como as questões de </w:t>
                      </w:r>
                      <w:proofErr w:type="spellStart"/>
                      <w:r>
                        <w:rPr>
                          <w:rFonts w:ascii="Times New Roman" w:eastAsia="SimSun" w:hAnsi="Times New Roman" w:cs="Times New Roman"/>
                          <w:szCs w:val="24"/>
                          <w:lang w:eastAsia="zh-CN"/>
                        </w:rPr>
                        <w:t>neurodivergência</w:t>
                      </w:r>
                      <w:proofErr w:type="spellEnd"/>
                      <w:r>
                        <w:rPr>
                          <w:rFonts w:ascii="Times New Roman" w:eastAsia="SimSun" w:hAnsi="Times New Roman" w:cs="Times New Roman"/>
                          <w:szCs w:val="24"/>
                          <w:lang w:eastAsia="zh-CN"/>
                        </w:rPr>
                        <w:t>.</w:t>
                      </w:r>
                    </w:p>
                    <w:p w14:paraId="08BB519C" w14:textId="77777777" w:rsidR="0003312E" w:rsidRDefault="00000000" w:rsidP="000D7094">
                      <w:pPr>
                        <w:jc w:val="both"/>
                        <w:rPr>
                          <w:rFonts w:ascii="Times New Roman" w:eastAsia="SimSun" w:hAnsi="Times New Roman" w:cs="Times New Roman"/>
                          <w:szCs w:val="24"/>
                          <w:lang w:eastAsia="zh-CN"/>
                        </w:rPr>
                      </w:pPr>
                      <w:r>
                        <w:rPr>
                          <w:rFonts w:ascii="Times New Roman" w:eastAsia="SimSun" w:hAnsi="Times New Roman" w:cs="Times New Roman"/>
                          <w:szCs w:val="24"/>
                          <w:lang w:eastAsia="zh-CN"/>
                        </w:rPr>
                        <w:t>O cérebro é apresentado como um território onde linguagem e pensamento se fundem. Cada palavra é um jardim de interpretações, cujas camadas históricas sustentam nossos sentidos atuais. Através de figuras icônicas, a autora reconstrói a trajetória desses conceitos, mostrando que a linguagem é a bússola da mente. Decifrá-la nos permite uma compreensão mais profunda tanto da ciência quanto da experiência humana.</w:t>
                      </w:r>
                    </w:p>
                    <w:p w14:paraId="15367CF4" w14:textId="77777777" w:rsidR="0003312E" w:rsidRDefault="00000000" w:rsidP="000D7094">
                      <w:pPr>
                        <w:jc w:val="both"/>
                      </w:pPr>
                      <w:r>
                        <w:rPr>
                          <w:rFonts w:ascii="Times New Roman" w:eastAsia="SimSun" w:hAnsi="Times New Roman" w:cs="Times New Roman"/>
                          <w:szCs w:val="24"/>
                          <w:lang w:eastAsia="zh-CN"/>
                        </w:rPr>
                        <w:t>Mais do que uma jornada intelectual, este ensaio acessível é um convite para ver a linguagem clínica como um arquivo vivo, oferecendo uma contribuição original para todos os interessados nos mistérios da mente.</w:t>
                      </w:r>
                    </w:p>
                  </w:txbxContent>
                </v:textbox>
              </v:shape>
            </w:pict>
          </mc:Fallback>
        </mc:AlternateContent>
      </w:r>
      <w:r>
        <w:rPr>
          <w:rFonts w:ascii="Times New Roman" w:hAnsi="Times New Roman" w:cs="Times New Roman"/>
          <w:noProof/>
          <w:sz w:val="24"/>
          <w:szCs w:val="24"/>
        </w:rPr>
        <w:drawing>
          <wp:inline distT="0" distB="0" distL="0" distR="0" wp14:anchorId="5D677090" wp14:editId="64562724">
            <wp:extent cx="5400040" cy="1171575"/>
            <wp:effectExtent l="0" t="0" r="10160" b="1905"/>
            <wp:docPr id="1853400976"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00976" name="Imagem 10"/>
                    <pic:cNvPicPr>
                      <a:picLocks noChangeAspect="1" noChangeArrowheads="1"/>
                    </pic:cNvPicPr>
                  </pic:nvPicPr>
                  <pic:blipFill>
                    <a:blip r:embed="rId125">
                      <a:extLst>
                        <a:ext uri="{28A0092B-C50C-407E-A947-70E740481C1C}">
                          <a14:useLocalDpi xmlns:a14="http://schemas.microsoft.com/office/drawing/2010/main" val="0"/>
                        </a:ext>
                      </a:extLst>
                    </a:blip>
                    <a:srcRect t="69849"/>
                    <a:stretch>
                      <a:fillRect/>
                    </a:stretch>
                  </pic:blipFill>
                  <pic:spPr>
                    <a:xfrm>
                      <a:off x="0" y="0"/>
                      <a:ext cx="5400040" cy="1171575"/>
                    </a:xfrm>
                    <a:prstGeom prst="rect">
                      <a:avLst/>
                    </a:prstGeom>
                    <a:noFill/>
                    <a:ln>
                      <a:noFill/>
                    </a:ln>
                  </pic:spPr>
                </pic:pic>
              </a:graphicData>
            </a:graphic>
          </wp:inline>
        </w:drawing>
      </w:r>
    </w:p>
    <w:sectPr w:rsidR="0003312E">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03B6C8" w14:textId="77777777" w:rsidR="00B852D2" w:rsidRDefault="00B852D2">
      <w:pPr>
        <w:spacing w:line="240" w:lineRule="auto"/>
      </w:pPr>
      <w:r>
        <w:separator/>
      </w:r>
    </w:p>
  </w:endnote>
  <w:endnote w:type="continuationSeparator" w:id="0">
    <w:p w14:paraId="3038863F" w14:textId="77777777" w:rsidR="00B852D2" w:rsidRDefault="00B852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等线 Light">
    <w:altName w:val="Segoe Print"/>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default"/>
    <w:sig w:usb0="00000287" w:usb1="00000000" w:usb2="00000000" w:usb3="00000000" w:csb0="0000009F" w:csb1="DFD70000"/>
  </w:font>
  <w:font w:name="Segoe UI Emoji">
    <w:panose1 w:val="020B0502040204020203"/>
    <w:charset w:val="00"/>
    <w:family w:val="swiss"/>
    <w:pitch w:val="variable"/>
    <w:sig w:usb0="00000003" w:usb1="02000000" w:usb2="08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86DB1" w14:textId="77777777" w:rsidR="0003312E" w:rsidRDefault="0003312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5008018"/>
    </w:sdtPr>
    <w:sdtContent>
      <w:p w14:paraId="62E93499" w14:textId="77777777" w:rsidR="0003312E" w:rsidRDefault="00000000">
        <w:pPr>
          <w:pStyle w:val="Rodap"/>
        </w:pPr>
        <w:r>
          <w:rPr>
            <w:noProof/>
          </w:rPr>
          <mc:AlternateContent>
            <mc:Choice Requires="wpg">
              <w:drawing>
                <wp:anchor distT="0" distB="0" distL="114300" distR="114300" simplePos="0" relativeHeight="251659264" behindDoc="0" locked="0" layoutInCell="1" allowOverlap="1" wp14:anchorId="327AEE7F" wp14:editId="311C4C5D">
                  <wp:simplePos x="0" y="0"/>
                  <wp:positionH relativeFrom="margin">
                    <wp:align>center</wp:align>
                  </wp:positionH>
                  <wp:positionV relativeFrom="page">
                    <wp:align>bottom</wp:align>
                  </wp:positionV>
                  <wp:extent cx="436880" cy="716915"/>
                  <wp:effectExtent l="9525" t="9525" r="10795" b="6985"/>
                  <wp:wrapNone/>
                  <wp:docPr id="1468689658" name="Agrupar 15"/>
                  <wp:cNvGraphicFramePr/>
                  <a:graphic xmlns:a="http://schemas.openxmlformats.org/drawingml/2006/main">
                    <a:graphicData uri="http://schemas.microsoft.com/office/word/2010/wordprocessingGroup">
                      <wpg:wgp>
                        <wpg:cNvGrpSpPr/>
                        <wpg:grpSpPr>
                          <a:xfrm>
                            <a:off x="0" y="0"/>
                            <a:ext cx="436880" cy="716915"/>
                            <a:chOff x="1743" y="14699"/>
                            <a:chExt cx="688" cy="1129"/>
                          </a:xfrm>
                        </wpg:grpSpPr>
                        <wps:wsp>
                          <wps:cNvPr id="1381708216" name="AutoShape 77"/>
                          <wps:cNvCnPr>
                            <a:cxnSpLocks noChangeShapeType="1"/>
                          </wps:cNvCnPr>
                          <wps:spPr bwMode="auto">
                            <a:xfrm flipV="1">
                              <a:off x="2111" y="15387"/>
                              <a:ext cx="0" cy="441"/>
                            </a:xfrm>
                            <a:prstGeom prst="straightConnector1">
                              <a:avLst/>
                            </a:prstGeom>
                            <a:noFill/>
                            <a:ln w="9525">
                              <a:solidFill>
                                <a:srgbClr val="7F7F7F"/>
                              </a:solidFill>
                              <a:round/>
                            </a:ln>
                          </wps:spPr>
                          <wps:bodyPr/>
                        </wps:wsp>
                        <wps:wsp>
                          <wps:cNvPr id="1014705784" name="Rectangle 78"/>
                          <wps:cNvSpPr>
                            <a:spLocks noChangeArrowheads="1"/>
                          </wps:cNvSpPr>
                          <wps:spPr bwMode="auto">
                            <a:xfrm>
                              <a:off x="1743" y="14699"/>
                              <a:ext cx="688" cy="688"/>
                            </a:xfrm>
                            <a:prstGeom prst="rect">
                              <a:avLst/>
                            </a:prstGeom>
                            <a:noFill/>
                            <a:ln w="9525">
                              <a:solidFill>
                                <a:srgbClr val="7F7F7F"/>
                              </a:solidFill>
                              <a:miter lim="800000"/>
                            </a:ln>
                          </wps:spPr>
                          <wps:txbx>
                            <w:txbxContent>
                              <w:p w14:paraId="1F1ECA6D" w14:textId="77777777" w:rsidR="0003312E" w:rsidRDefault="00000000">
                                <w:pPr>
                                  <w:pStyle w:val="Rodap"/>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anchor>
              </w:drawing>
            </mc:Choice>
            <mc:Fallback>
              <w:pict>
                <v:group w14:anchorId="327AEE7F" id="Agrupar 15" o:spid="_x0000_s1028" style="position:absolute;margin-left:0;margin-top:0;width:34.4pt;height:56.45pt;z-index:25165926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mSW7QIAAAkHAAAOAAAAZHJzL2Uyb0RvYy54bWy8ld1v0zAQwN+R+B8sv7PEbdqk0dJp6tiE&#10;NGBig3fXcT5EYhvbbVr+es5O0nZl4mEINimNfb7z3e8+cnm1axu05drUUmSYXIQYccFkXosyw1+f&#10;bt8lGBlLRU4bKXiG99zgq+XbN5edSvlEVrLJuUZgRJi0UxmurFVpEBhW8ZaaC6m4AGEhdUstLHUZ&#10;5Jp2YL1tgkkYzoNO6lxpybgxsHvTC/HS2y8KzuznojDcoibD4Jv1T+2fa/cMlpc0LTVVVc0GN+gr&#10;vGhpLeDSg6kbaina6Po3U23NtDSysBdMtoEsippxHwNEQ8KzaO603CgfS5l2pTpgArRnnF5tln3a&#10;3mn1qB40kOhUCSz8ysWyK3TrfsFLtPPI9gdkfGcRg81oOk8SAMtAFJP5gsx6pKwC7k6LxNEUI5CS&#10;aL5YjML3gzoo97qETLwwGK8NnjnTKSgPcyRg/o7AY0UV92BNCgQeNKpz8HCakDhMJmSOkaAtVOv1&#10;xkp/FsWxc925AedX4kE7MGwnHtW9ZN8NEnJVUVFyf/ppr0CZOA0I40TFLQywRuvuo8zhDIULfN04&#10;1qhoavXNKZ5QnxBCen6zaeKdoOkIf+AeRf1VIzqaKm3sHZctci8ZNlbTuqzsSgoBHSF1fwPd3hvr&#10;fDwquIuFvK2bBvZp2gjUZXgxm8y8S0Y2de6ETmZ0uV41Gm0ptFZ86/59wCA5PQYlLPL+kkYMPByC&#10;HuZa5ntfep4TZLjf/vepDkkUh7M4icZUfwEwkMCGozg5SbXrDB/tWZ6vtZZdxWkOlfgs0b3CnxPt&#10;DA5N9VJ7jOk9NId76RGOLXmWYA3O+wz9l5S2tYWZ3dRthpPQ/Q3OvZBfu1vvwHOHo0810rKfwfDN&#10;gJdK6p8YdTB/oUp/bKjmGDUfBEBdkChyA9svolk8gYU+laxPJVQwMJVhZjVG/WJl+zG/UdrV/thW&#10;QrqmLmpf+Ee/hsr0FehHD8xb3xnDt8EN9NO1P3/8gi1/AQAA//8DAFBLAwQUAAYACAAAACEA0pdr&#10;B9sAAAAEAQAADwAAAGRycy9kb3ducmV2LnhtbEyPQUvDQBCF74L/YRnBm92kYqkxm1KKeiqCrSDe&#10;ptlpEpqdDdltkv57Ry96GXi8x5vv5avJtWqgPjSeDaSzBBRx6W3DlYGP/cvdElSIyBZbz2TgQgFW&#10;xfVVjpn1I7/TsIuVkhIOGRqoY+wyrUNZk8Mw8x2xeEffO4wi+0rbHkcpd62eJ8lCO2xYPtTY0aam&#10;8rQ7OwOvI47r+/R52J6Om8vX/uHtc5uSMbc30/oJVKQp/oXhB1/QoRCmgz+zDao1IEPi7xVvsZQV&#10;B8mk80fQRa7/wxffAAAA//8DAFBLAQItABQABgAIAAAAIQC2gziS/gAAAOEBAAATAAAAAAAAAAAA&#10;AAAAAAAAAABbQ29udGVudF9UeXBlc10ueG1sUEsBAi0AFAAGAAgAAAAhADj9If/WAAAAlAEAAAsA&#10;AAAAAAAAAAAAAAAALwEAAF9yZWxzLy5yZWxzUEsBAi0AFAAGAAgAAAAhAM6OZJbtAgAACQcAAA4A&#10;AAAAAAAAAAAAAAAALgIAAGRycy9lMm9Eb2MueG1sUEsBAi0AFAAGAAgAAAAhANKXawfbAAAABAEA&#10;AA8AAAAAAAAAAAAAAAAARwUAAGRycy9kb3ducmV2LnhtbFBLBQYAAAAABAAEAPMAAABPBgAAAAA=&#10;">
                  <v:shapetype id="_x0000_t32" coordsize="21600,21600" o:spt="32" o:oned="t" path="m,l21600,21600e" filled="f">
                    <v:path arrowok="t" fillok="f" o:connecttype="none"/>
                    <o:lock v:ext="edit" shapetype="t"/>
                  </v:shapetype>
                  <v:shape id="AutoShape 77" o:spid="_x0000_s1029"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j/xwAAAOMAAAAPAAAAZHJzL2Rvd25yZXYueG1sRE/NasJA&#10;EL4LvsMygjfdRFFD6ipSKORSikZ7HrLTJDU7G7JrTPv0bqHgcb7/2e4H04ieOldbVhDPIxDEhdU1&#10;lwrO+dssAeE8ssbGMin4IQf73Xi0xVTbOx+pP/lShBB2KSqovG9TKV1RkUE3ty1x4L5sZ9CHsyul&#10;7vAewk0jF1G0lgZrDg0VtvRaUXE93YyCVbYx3y7Lj79e5u+fffPR3i5SqelkOLyA8DT4p/jfnekw&#10;f5nEmyhZxGv4+ykAIHcPAAAA//8DAFBLAQItABQABgAIAAAAIQDb4fbL7gAAAIUBAAATAAAAAAAA&#10;AAAAAAAAAAAAAABbQ29udGVudF9UeXBlc10ueG1sUEsBAi0AFAAGAAgAAAAhAFr0LFu/AAAAFQEA&#10;AAsAAAAAAAAAAAAAAAAAHwEAAF9yZWxzLy5yZWxzUEsBAi0AFAAGAAgAAAAhAJSOyP/HAAAA4wAA&#10;AA8AAAAAAAAAAAAAAAAABwIAAGRycy9kb3ducmV2LnhtbFBLBQYAAAAAAwADALcAAAD7AgAAAAA=&#10;" strokecolor="#7f7f7f"/>
                  <v:rect id="Rectangle 78" o:spid="_x0000_s1030"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FQMyQAAAOMAAAAPAAAAZHJzL2Rvd25yZXYueG1sRE9fS8Mw&#10;EH8X/A7hBN9cMplu1mVDqoLgy5xj07ejOZva5lKa2HbffhEEH+/3/5br0TWipy5UnjVMJwoEceFN&#10;xaWG3fvz1QJEiMgGG8+k4UgB1qvzsyVmxg/8Rv02liKFcMhQg42xzaQMhSWHYeJb4sR9+c5hTGdX&#10;StPhkMJdI6+VupUOK04NFlvKLRX19sdpqO3j99Nrfcw/eN/nh00c7j4PG60vL8aHexCRxvgv/nO/&#10;mDRfTWdzdTNfzOD3pwSAXJ0AAAD//wMAUEsBAi0AFAAGAAgAAAAhANvh9svuAAAAhQEAABMAAAAA&#10;AAAAAAAAAAAAAAAAAFtDb250ZW50X1R5cGVzXS54bWxQSwECLQAUAAYACAAAACEAWvQsW78AAAAV&#10;AQAACwAAAAAAAAAAAAAAAAAfAQAAX3JlbHMvLnJlbHNQSwECLQAUAAYACAAAACEAWHBUDMkAAADj&#10;AAAADwAAAAAAAAAAAAAAAAAHAgAAZHJzL2Rvd25yZXYueG1sUEsFBgAAAAADAAMAtwAAAP0CAAAA&#10;AA==&#10;" filled="f" strokecolor="#7f7f7f">
                    <v:textbox>
                      <w:txbxContent>
                        <w:p w14:paraId="1F1ECA6D" w14:textId="77777777" w:rsidR="0003312E" w:rsidRDefault="00000000">
                          <w:pPr>
                            <w:pStyle w:val="Rodap"/>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v:textbox>
                  </v:rect>
                  <w10:wrap anchorx="margin" anchory="page"/>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5D3BC" w14:textId="77777777" w:rsidR="0003312E" w:rsidRDefault="0003312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A98BF8" w14:textId="77777777" w:rsidR="00B852D2" w:rsidRDefault="00B852D2">
      <w:pPr>
        <w:spacing w:after="0"/>
      </w:pPr>
      <w:r>
        <w:separator/>
      </w:r>
    </w:p>
  </w:footnote>
  <w:footnote w:type="continuationSeparator" w:id="0">
    <w:p w14:paraId="69B44B41" w14:textId="77777777" w:rsidR="00B852D2" w:rsidRDefault="00B852D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E6691" w14:textId="77777777" w:rsidR="0003312E" w:rsidRDefault="0003312E">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E9D2D" w14:textId="77777777" w:rsidR="0003312E" w:rsidRDefault="0003312E">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24D99" w14:textId="77777777" w:rsidR="0003312E" w:rsidRDefault="0003312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130402"/>
    <w:multiLevelType w:val="multilevel"/>
    <w:tmpl w:val="0B13040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15:restartNumberingAfterBreak="0">
    <w:nsid w:val="0BBD7773"/>
    <w:multiLevelType w:val="multilevel"/>
    <w:tmpl w:val="0BBD777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16C2C1A6"/>
    <w:multiLevelType w:val="multilevel"/>
    <w:tmpl w:val="16C2C1A6"/>
    <w:lvl w:ilvl="0">
      <w:start w:val="1"/>
      <w:numFmt w:val="decimal"/>
      <w:lvlText w:val="%1."/>
      <w:lvlJc w:val="left"/>
      <w:pPr>
        <w:tabs>
          <w:tab w:val="left" w:pos="425"/>
        </w:tabs>
        <w:ind w:left="425" w:hanging="425"/>
      </w:pPr>
      <w:rPr>
        <w:rFonts w:hint="default"/>
      </w:rPr>
    </w:lvl>
    <w:lvl w:ilvl="1">
      <w:start w:val="1"/>
      <w:numFmt w:val="lowerLetter"/>
      <w:lvlText w:val="%2."/>
      <w:lvlJc w:val="left"/>
      <w:pPr>
        <w:tabs>
          <w:tab w:val="left" w:pos="425"/>
        </w:tabs>
        <w:ind w:left="425" w:firstLine="295"/>
      </w:pPr>
      <w:rPr>
        <w:rFonts w:hint="default"/>
      </w:rPr>
    </w:lvl>
    <w:lvl w:ilvl="2">
      <w:start w:val="1"/>
      <w:numFmt w:val="lowerRoman"/>
      <w:lvlText w:val="%3."/>
      <w:lvlJc w:val="right"/>
      <w:pPr>
        <w:tabs>
          <w:tab w:val="left" w:pos="425"/>
        </w:tabs>
        <w:ind w:left="425" w:firstLine="1195"/>
      </w:pPr>
      <w:rPr>
        <w:rFonts w:hint="default"/>
      </w:rPr>
    </w:lvl>
    <w:lvl w:ilvl="3">
      <w:start w:val="1"/>
      <w:numFmt w:val="decimal"/>
      <w:lvlText w:val="%4."/>
      <w:lvlJc w:val="left"/>
      <w:pPr>
        <w:tabs>
          <w:tab w:val="left" w:pos="425"/>
        </w:tabs>
        <w:ind w:left="425" w:firstLine="1735"/>
      </w:pPr>
      <w:rPr>
        <w:rFonts w:hint="default"/>
      </w:rPr>
    </w:lvl>
    <w:lvl w:ilvl="4">
      <w:start w:val="1"/>
      <w:numFmt w:val="lowerLetter"/>
      <w:lvlText w:val="%5."/>
      <w:lvlJc w:val="left"/>
      <w:pPr>
        <w:tabs>
          <w:tab w:val="left" w:pos="425"/>
        </w:tabs>
        <w:ind w:left="425" w:firstLine="2455"/>
      </w:pPr>
      <w:rPr>
        <w:rFonts w:hint="default"/>
      </w:rPr>
    </w:lvl>
    <w:lvl w:ilvl="5">
      <w:start w:val="1"/>
      <w:numFmt w:val="lowerRoman"/>
      <w:lvlText w:val="%6."/>
      <w:lvlJc w:val="right"/>
      <w:pPr>
        <w:tabs>
          <w:tab w:val="left" w:pos="425"/>
        </w:tabs>
        <w:ind w:left="425" w:firstLine="3355"/>
      </w:pPr>
      <w:rPr>
        <w:rFonts w:hint="default"/>
      </w:rPr>
    </w:lvl>
    <w:lvl w:ilvl="6">
      <w:start w:val="1"/>
      <w:numFmt w:val="decimal"/>
      <w:lvlText w:val="%7."/>
      <w:lvlJc w:val="left"/>
      <w:pPr>
        <w:tabs>
          <w:tab w:val="left" w:pos="425"/>
        </w:tabs>
        <w:ind w:left="425" w:firstLine="3895"/>
      </w:pPr>
      <w:rPr>
        <w:rFonts w:hint="default"/>
      </w:rPr>
    </w:lvl>
    <w:lvl w:ilvl="7">
      <w:start w:val="1"/>
      <w:numFmt w:val="lowerLetter"/>
      <w:lvlText w:val="%8."/>
      <w:lvlJc w:val="left"/>
      <w:pPr>
        <w:tabs>
          <w:tab w:val="left" w:pos="425"/>
        </w:tabs>
        <w:ind w:left="425" w:firstLine="4615"/>
      </w:pPr>
      <w:rPr>
        <w:rFonts w:hint="default"/>
      </w:rPr>
    </w:lvl>
    <w:lvl w:ilvl="8">
      <w:start w:val="1"/>
      <w:numFmt w:val="lowerRoman"/>
      <w:lvlText w:val="%9."/>
      <w:lvlJc w:val="right"/>
      <w:pPr>
        <w:tabs>
          <w:tab w:val="left" w:pos="425"/>
        </w:tabs>
        <w:ind w:left="425" w:firstLine="5515"/>
      </w:pPr>
      <w:rPr>
        <w:rFonts w:hint="default"/>
      </w:rPr>
    </w:lvl>
  </w:abstractNum>
  <w:abstractNum w:abstractNumId="3" w15:restartNumberingAfterBreak="0">
    <w:nsid w:val="2D1774B4"/>
    <w:multiLevelType w:val="multilevel"/>
    <w:tmpl w:val="2D1774B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 w15:restartNumberingAfterBreak="0">
    <w:nsid w:val="339B749C"/>
    <w:multiLevelType w:val="multilevel"/>
    <w:tmpl w:val="339B74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A1C7BD5"/>
    <w:multiLevelType w:val="multilevel"/>
    <w:tmpl w:val="3A1C7BD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B35109E"/>
    <w:multiLevelType w:val="multilevel"/>
    <w:tmpl w:val="3B3510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433C1510"/>
    <w:multiLevelType w:val="multilevel"/>
    <w:tmpl w:val="433C15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9D127B4"/>
    <w:multiLevelType w:val="multilevel"/>
    <w:tmpl w:val="49D127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B826C18"/>
    <w:multiLevelType w:val="multilevel"/>
    <w:tmpl w:val="4B826C1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4B9601E0"/>
    <w:multiLevelType w:val="multilevel"/>
    <w:tmpl w:val="4B9601E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4DC55416"/>
    <w:multiLevelType w:val="multilevel"/>
    <w:tmpl w:val="4DC554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76963B1B"/>
    <w:multiLevelType w:val="multilevel"/>
    <w:tmpl w:val="76963B1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F82017A"/>
    <w:multiLevelType w:val="multilevel"/>
    <w:tmpl w:val="7F8201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45740841">
    <w:abstractNumId w:val="7"/>
  </w:num>
  <w:num w:numId="2" w16cid:durableId="504781913">
    <w:abstractNumId w:val="1"/>
  </w:num>
  <w:num w:numId="3" w16cid:durableId="607274062">
    <w:abstractNumId w:val="11"/>
  </w:num>
  <w:num w:numId="4" w16cid:durableId="1857183888">
    <w:abstractNumId w:val="5"/>
  </w:num>
  <w:num w:numId="5" w16cid:durableId="626937473">
    <w:abstractNumId w:val="6"/>
  </w:num>
  <w:num w:numId="6" w16cid:durableId="1334189147">
    <w:abstractNumId w:val="8"/>
  </w:num>
  <w:num w:numId="7" w16cid:durableId="1565606346">
    <w:abstractNumId w:val="12"/>
  </w:num>
  <w:num w:numId="8" w16cid:durableId="993874673">
    <w:abstractNumId w:val="0"/>
  </w:num>
  <w:num w:numId="9" w16cid:durableId="2030644437">
    <w:abstractNumId w:val="13"/>
  </w:num>
  <w:num w:numId="10" w16cid:durableId="1014115728">
    <w:abstractNumId w:val="4"/>
  </w:num>
  <w:num w:numId="11" w16cid:durableId="171575873">
    <w:abstractNumId w:val="9"/>
  </w:num>
  <w:num w:numId="12" w16cid:durableId="824778453">
    <w:abstractNumId w:val="10"/>
  </w:num>
  <w:num w:numId="13" w16cid:durableId="5239069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535825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F30"/>
    <w:rsid w:val="0000024D"/>
    <w:rsid w:val="000012E2"/>
    <w:rsid w:val="00002D37"/>
    <w:rsid w:val="0000433E"/>
    <w:rsid w:val="00010EE8"/>
    <w:rsid w:val="0001239D"/>
    <w:rsid w:val="00013DA3"/>
    <w:rsid w:val="000143A4"/>
    <w:rsid w:val="00017962"/>
    <w:rsid w:val="0003312E"/>
    <w:rsid w:val="0003574B"/>
    <w:rsid w:val="00044528"/>
    <w:rsid w:val="000450D5"/>
    <w:rsid w:val="00051112"/>
    <w:rsid w:val="00055BD9"/>
    <w:rsid w:val="00056720"/>
    <w:rsid w:val="00057C18"/>
    <w:rsid w:val="00064331"/>
    <w:rsid w:val="00067468"/>
    <w:rsid w:val="0008695A"/>
    <w:rsid w:val="00090F6F"/>
    <w:rsid w:val="00091B59"/>
    <w:rsid w:val="00091CA0"/>
    <w:rsid w:val="000941AA"/>
    <w:rsid w:val="00095AFB"/>
    <w:rsid w:val="000A0A9D"/>
    <w:rsid w:val="000A0D66"/>
    <w:rsid w:val="000A2B71"/>
    <w:rsid w:val="000A5723"/>
    <w:rsid w:val="000A7B2F"/>
    <w:rsid w:val="000B6E18"/>
    <w:rsid w:val="000D7094"/>
    <w:rsid w:val="000D7F9B"/>
    <w:rsid w:val="000E3179"/>
    <w:rsid w:val="000F341D"/>
    <w:rsid w:val="000F58E0"/>
    <w:rsid w:val="000F64AB"/>
    <w:rsid w:val="00104B20"/>
    <w:rsid w:val="00111710"/>
    <w:rsid w:val="00114FB4"/>
    <w:rsid w:val="00114FE4"/>
    <w:rsid w:val="001156F7"/>
    <w:rsid w:val="00115A29"/>
    <w:rsid w:val="00116D21"/>
    <w:rsid w:val="00122BE4"/>
    <w:rsid w:val="00133C54"/>
    <w:rsid w:val="0013616D"/>
    <w:rsid w:val="00143E7D"/>
    <w:rsid w:val="00155689"/>
    <w:rsid w:val="00160E9A"/>
    <w:rsid w:val="001629AD"/>
    <w:rsid w:val="00171C78"/>
    <w:rsid w:val="00184DE8"/>
    <w:rsid w:val="0018533B"/>
    <w:rsid w:val="001910CE"/>
    <w:rsid w:val="001A0AE8"/>
    <w:rsid w:val="001A1337"/>
    <w:rsid w:val="001A592E"/>
    <w:rsid w:val="001A7BF7"/>
    <w:rsid w:val="001B38BA"/>
    <w:rsid w:val="001B52E2"/>
    <w:rsid w:val="001B6A90"/>
    <w:rsid w:val="001C5E20"/>
    <w:rsid w:val="001D3CCF"/>
    <w:rsid w:val="001E33E5"/>
    <w:rsid w:val="001F11C2"/>
    <w:rsid w:val="001F3DFF"/>
    <w:rsid w:val="001F5654"/>
    <w:rsid w:val="001F5E00"/>
    <w:rsid w:val="002059AB"/>
    <w:rsid w:val="00211F84"/>
    <w:rsid w:val="00212835"/>
    <w:rsid w:val="002171B8"/>
    <w:rsid w:val="002206A8"/>
    <w:rsid w:val="00224F1A"/>
    <w:rsid w:val="00231A85"/>
    <w:rsid w:val="002364CE"/>
    <w:rsid w:val="002400B9"/>
    <w:rsid w:val="002419A6"/>
    <w:rsid w:val="00242CA3"/>
    <w:rsid w:val="002452CB"/>
    <w:rsid w:val="00250519"/>
    <w:rsid w:val="002544CA"/>
    <w:rsid w:val="00263646"/>
    <w:rsid w:val="002809BD"/>
    <w:rsid w:val="00291B1A"/>
    <w:rsid w:val="0029270F"/>
    <w:rsid w:val="00296FED"/>
    <w:rsid w:val="002A099B"/>
    <w:rsid w:val="002A4400"/>
    <w:rsid w:val="002B1180"/>
    <w:rsid w:val="002B1D8B"/>
    <w:rsid w:val="002D11B7"/>
    <w:rsid w:val="002D4306"/>
    <w:rsid w:val="002D4CA6"/>
    <w:rsid w:val="002D5E2B"/>
    <w:rsid w:val="002E207C"/>
    <w:rsid w:val="002F20EA"/>
    <w:rsid w:val="002F3618"/>
    <w:rsid w:val="003029B8"/>
    <w:rsid w:val="00322B5D"/>
    <w:rsid w:val="00324EF4"/>
    <w:rsid w:val="00327D76"/>
    <w:rsid w:val="00335AD0"/>
    <w:rsid w:val="003503F4"/>
    <w:rsid w:val="003514A3"/>
    <w:rsid w:val="00357AA0"/>
    <w:rsid w:val="00364DC1"/>
    <w:rsid w:val="00370A3A"/>
    <w:rsid w:val="00377A76"/>
    <w:rsid w:val="003870B4"/>
    <w:rsid w:val="003878EF"/>
    <w:rsid w:val="003900C0"/>
    <w:rsid w:val="003931B0"/>
    <w:rsid w:val="00397C64"/>
    <w:rsid w:val="003A5E09"/>
    <w:rsid w:val="003A650B"/>
    <w:rsid w:val="003A772F"/>
    <w:rsid w:val="003D269E"/>
    <w:rsid w:val="003D46F5"/>
    <w:rsid w:val="003D6DBA"/>
    <w:rsid w:val="003E0C66"/>
    <w:rsid w:val="003F618F"/>
    <w:rsid w:val="00400968"/>
    <w:rsid w:val="00402C2D"/>
    <w:rsid w:val="00410364"/>
    <w:rsid w:val="00425B69"/>
    <w:rsid w:val="00434541"/>
    <w:rsid w:val="00436848"/>
    <w:rsid w:val="00437C14"/>
    <w:rsid w:val="0044418D"/>
    <w:rsid w:val="00444F92"/>
    <w:rsid w:val="00457CB4"/>
    <w:rsid w:val="00460C0C"/>
    <w:rsid w:val="00460E58"/>
    <w:rsid w:val="00461D6F"/>
    <w:rsid w:val="00466346"/>
    <w:rsid w:val="0047072B"/>
    <w:rsid w:val="004768FB"/>
    <w:rsid w:val="00477CDD"/>
    <w:rsid w:val="00481AC5"/>
    <w:rsid w:val="004B0C99"/>
    <w:rsid w:val="004C2ECA"/>
    <w:rsid w:val="004C4A4C"/>
    <w:rsid w:val="004D2E4B"/>
    <w:rsid w:val="004E5EDE"/>
    <w:rsid w:val="004F0C6A"/>
    <w:rsid w:val="004F196B"/>
    <w:rsid w:val="004F3F74"/>
    <w:rsid w:val="004F411E"/>
    <w:rsid w:val="004F4703"/>
    <w:rsid w:val="005043B4"/>
    <w:rsid w:val="0051718A"/>
    <w:rsid w:val="005176A5"/>
    <w:rsid w:val="005177E2"/>
    <w:rsid w:val="00522968"/>
    <w:rsid w:val="00532A14"/>
    <w:rsid w:val="00534914"/>
    <w:rsid w:val="00536D6C"/>
    <w:rsid w:val="005439E3"/>
    <w:rsid w:val="00543E6C"/>
    <w:rsid w:val="00550ED4"/>
    <w:rsid w:val="0055368C"/>
    <w:rsid w:val="00554148"/>
    <w:rsid w:val="00555C73"/>
    <w:rsid w:val="00556CC5"/>
    <w:rsid w:val="00562C1D"/>
    <w:rsid w:val="00562D91"/>
    <w:rsid w:val="005646AD"/>
    <w:rsid w:val="0057118C"/>
    <w:rsid w:val="00572C7A"/>
    <w:rsid w:val="00584025"/>
    <w:rsid w:val="00584558"/>
    <w:rsid w:val="005859CB"/>
    <w:rsid w:val="005A732E"/>
    <w:rsid w:val="005B5E35"/>
    <w:rsid w:val="005C198C"/>
    <w:rsid w:val="005D32AF"/>
    <w:rsid w:val="005E14C9"/>
    <w:rsid w:val="005F0948"/>
    <w:rsid w:val="006028C5"/>
    <w:rsid w:val="00603059"/>
    <w:rsid w:val="00603C35"/>
    <w:rsid w:val="00604A2D"/>
    <w:rsid w:val="00607CFF"/>
    <w:rsid w:val="00610C5C"/>
    <w:rsid w:val="00612300"/>
    <w:rsid w:val="00615EB7"/>
    <w:rsid w:val="00616FE8"/>
    <w:rsid w:val="0061780D"/>
    <w:rsid w:val="00622150"/>
    <w:rsid w:val="0062219C"/>
    <w:rsid w:val="00624F08"/>
    <w:rsid w:val="0062585B"/>
    <w:rsid w:val="00627A26"/>
    <w:rsid w:val="00630A2B"/>
    <w:rsid w:val="0063208F"/>
    <w:rsid w:val="00640565"/>
    <w:rsid w:val="00640BCB"/>
    <w:rsid w:val="00643089"/>
    <w:rsid w:val="006452B3"/>
    <w:rsid w:val="006469A4"/>
    <w:rsid w:val="0065047F"/>
    <w:rsid w:val="006615BB"/>
    <w:rsid w:val="00663130"/>
    <w:rsid w:val="00665CDE"/>
    <w:rsid w:val="0068261A"/>
    <w:rsid w:val="00682C01"/>
    <w:rsid w:val="0068425F"/>
    <w:rsid w:val="006853CD"/>
    <w:rsid w:val="00686A25"/>
    <w:rsid w:val="0069572B"/>
    <w:rsid w:val="006975A1"/>
    <w:rsid w:val="006A6BEF"/>
    <w:rsid w:val="006B2418"/>
    <w:rsid w:val="006C0B40"/>
    <w:rsid w:val="006C45F2"/>
    <w:rsid w:val="006C7D49"/>
    <w:rsid w:val="006D086D"/>
    <w:rsid w:val="006E0DC8"/>
    <w:rsid w:val="006F3932"/>
    <w:rsid w:val="006F4942"/>
    <w:rsid w:val="006F6B60"/>
    <w:rsid w:val="00702AE9"/>
    <w:rsid w:val="007047AD"/>
    <w:rsid w:val="00706AA7"/>
    <w:rsid w:val="007115A2"/>
    <w:rsid w:val="00715D0A"/>
    <w:rsid w:val="00732F0A"/>
    <w:rsid w:val="0074473A"/>
    <w:rsid w:val="007452ED"/>
    <w:rsid w:val="007500BB"/>
    <w:rsid w:val="007518F0"/>
    <w:rsid w:val="00751E55"/>
    <w:rsid w:val="00753A29"/>
    <w:rsid w:val="0075747A"/>
    <w:rsid w:val="00764CFF"/>
    <w:rsid w:val="00772FA5"/>
    <w:rsid w:val="00774E6E"/>
    <w:rsid w:val="00775657"/>
    <w:rsid w:val="00776D76"/>
    <w:rsid w:val="00785516"/>
    <w:rsid w:val="00790AAB"/>
    <w:rsid w:val="007962C5"/>
    <w:rsid w:val="007A3F58"/>
    <w:rsid w:val="007A4E92"/>
    <w:rsid w:val="007B14C3"/>
    <w:rsid w:val="007B6297"/>
    <w:rsid w:val="007C4A6D"/>
    <w:rsid w:val="007C7412"/>
    <w:rsid w:val="007D3E14"/>
    <w:rsid w:val="007E16A1"/>
    <w:rsid w:val="007E68AC"/>
    <w:rsid w:val="007F157B"/>
    <w:rsid w:val="007F237A"/>
    <w:rsid w:val="007F52A4"/>
    <w:rsid w:val="00810442"/>
    <w:rsid w:val="00812A85"/>
    <w:rsid w:val="008201EE"/>
    <w:rsid w:val="008247F2"/>
    <w:rsid w:val="00831458"/>
    <w:rsid w:val="00832D36"/>
    <w:rsid w:val="00836279"/>
    <w:rsid w:val="00850A5C"/>
    <w:rsid w:val="008519EA"/>
    <w:rsid w:val="00852435"/>
    <w:rsid w:val="00855F95"/>
    <w:rsid w:val="00860E9E"/>
    <w:rsid w:val="00874590"/>
    <w:rsid w:val="00874B82"/>
    <w:rsid w:val="00875530"/>
    <w:rsid w:val="008768E1"/>
    <w:rsid w:val="00881297"/>
    <w:rsid w:val="008827C2"/>
    <w:rsid w:val="008A46E0"/>
    <w:rsid w:val="008B4DFA"/>
    <w:rsid w:val="008B6130"/>
    <w:rsid w:val="008C0BCC"/>
    <w:rsid w:val="008C6DC7"/>
    <w:rsid w:val="008D2325"/>
    <w:rsid w:val="008D4DBC"/>
    <w:rsid w:val="008D53BC"/>
    <w:rsid w:val="008E18CF"/>
    <w:rsid w:val="008E3A4D"/>
    <w:rsid w:val="008E7667"/>
    <w:rsid w:val="008F0735"/>
    <w:rsid w:val="008F0AC9"/>
    <w:rsid w:val="008F1BBE"/>
    <w:rsid w:val="0091044E"/>
    <w:rsid w:val="00922566"/>
    <w:rsid w:val="009227D7"/>
    <w:rsid w:val="00922AC4"/>
    <w:rsid w:val="00924EB5"/>
    <w:rsid w:val="009256B0"/>
    <w:rsid w:val="009274E4"/>
    <w:rsid w:val="0094309D"/>
    <w:rsid w:val="00947F75"/>
    <w:rsid w:val="00950AF6"/>
    <w:rsid w:val="00957F65"/>
    <w:rsid w:val="009823B4"/>
    <w:rsid w:val="00990088"/>
    <w:rsid w:val="00996A1C"/>
    <w:rsid w:val="00997756"/>
    <w:rsid w:val="009978C2"/>
    <w:rsid w:val="009A0C98"/>
    <w:rsid w:val="009B12A0"/>
    <w:rsid w:val="009B3F3B"/>
    <w:rsid w:val="009B444F"/>
    <w:rsid w:val="009B47E6"/>
    <w:rsid w:val="009B507F"/>
    <w:rsid w:val="009B52CD"/>
    <w:rsid w:val="009C1A8F"/>
    <w:rsid w:val="009C4FB4"/>
    <w:rsid w:val="009D70C7"/>
    <w:rsid w:val="009E181C"/>
    <w:rsid w:val="009E708D"/>
    <w:rsid w:val="00A0669C"/>
    <w:rsid w:val="00A06723"/>
    <w:rsid w:val="00A077F6"/>
    <w:rsid w:val="00A10B73"/>
    <w:rsid w:val="00A16F68"/>
    <w:rsid w:val="00A22972"/>
    <w:rsid w:val="00A265A2"/>
    <w:rsid w:val="00A351FF"/>
    <w:rsid w:val="00A40191"/>
    <w:rsid w:val="00A51C34"/>
    <w:rsid w:val="00A572E9"/>
    <w:rsid w:val="00A57AE6"/>
    <w:rsid w:val="00A65318"/>
    <w:rsid w:val="00A71754"/>
    <w:rsid w:val="00A75BD7"/>
    <w:rsid w:val="00A768A1"/>
    <w:rsid w:val="00A96FA4"/>
    <w:rsid w:val="00AA01FE"/>
    <w:rsid w:val="00AA1BC9"/>
    <w:rsid w:val="00AB4CA0"/>
    <w:rsid w:val="00AB6084"/>
    <w:rsid w:val="00AB61FF"/>
    <w:rsid w:val="00AC5C3D"/>
    <w:rsid w:val="00AC5CB3"/>
    <w:rsid w:val="00AC752E"/>
    <w:rsid w:val="00AD365B"/>
    <w:rsid w:val="00AD5763"/>
    <w:rsid w:val="00AD7682"/>
    <w:rsid w:val="00AE0965"/>
    <w:rsid w:val="00AE2609"/>
    <w:rsid w:val="00AF17A6"/>
    <w:rsid w:val="00B01D8C"/>
    <w:rsid w:val="00B07F94"/>
    <w:rsid w:val="00B10856"/>
    <w:rsid w:val="00B12764"/>
    <w:rsid w:val="00B20529"/>
    <w:rsid w:val="00B2259B"/>
    <w:rsid w:val="00B26E6A"/>
    <w:rsid w:val="00B3022F"/>
    <w:rsid w:val="00B318F9"/>
    <w:rsid w:val="00B33DD3"/>
    <w:rsid w:val="00B40B17"/>
    <w:rsid w:val="00B4191F"/>
    <w:rsid w:val="00B41F4D"/>
    <w:rsid w:val="00B506A4"/>
    <w:rsid w:val="00B67C21"/>
    <w:rsid w:val="00B70AF9"/>
    <w:rsid w:val="00B728B0"/>
    <w:rsid w:val="00B757D8"/>
    <w:rsid w:val="00B763B4"/>
    <w:rsid w:val="00B769BD"/>
    <w:rsid w:val="00B76FD2"/>
    <w:rsid w:val="00B852D2"/>
    <w:rsid w:val="00B90844"/>
    <w:rsid w:val="00B954E1"/>
    <w:rsid w:val="00BA0A6D"/>
    <w:rsid w:val="00BA0FE6"/>
    <w:rsid w:val="00BA7FAA"/>
    <w:rsid w:val="00BB0E47"/>
    <w:rsid w:val="00BB22A7"/>
    <w:rsid w:val="00BC0F19"/>
    <w:rsid w:val="00BC4651"/>
    <w:rsid w:val="00BC7FB9"/>
    <w:rsid w:val="00BD6B1D"/>
    <w:rsid w:val="00BF2A82"/>
    <w:rsid w:val="00BF32EA"/>
    <w:rsid w:val="00BF60B1"/>
    <w:rsid w:val="00C00DAE"/>
    <w:rsid w:val="00C02B92"/>
    <w:rsid w:val="00C03D00"/>
    <w:rsid w:val="00C06C67"/>
    <w:rsid w:val="00C221B2"/>
    <w:rsid w:val="00C22867"/>
    <w:rsid w:val="00C27E5B"/>
    <w:rsid w:val="00C40194"/>
    <w:rsid w:val="00C40F6D"/>
    <w:rsid w:val="00C41C9B"/>
    <w:rsid w:val="00C4544A"/>
    <w:rsid w:val="00C5526A"/>
    <w:rsid w:val="00C62F6C"/>
    <w:rsid w:val="00C63167"/>
    <w:rsid w:val="00C65ACE"/>
    <w:rsid w:val="00C7584D"/>
    <w:rsid w:val="00C767DC"/>
    <w:rsid w:val="00C90237"/>
    <w:rsid w:val="00C90276"/>
    <w:rsid w:val="00CA0B18"/>
    <w:rsid w:val="00CA17EF"/>
    <w:rsid w:val="00CA62DA"/>
    <w:rsid w:val="00CB4837"/>
    <w:rsid w:val="00CB4F99"/>
    <w:rsid w:val="00CD6ED1"/>
    <w:rsid w:val="00CE31EB"/>
    <w:rsid w:val="00CF6B1C"/>
    <w:rsid w:val="00D06E45"/>
    <w:rsid w:val="00D11CED"/>
    <w:rsid w:val="00D1645F"/>
    <w:rsid w:val="00D16A13"/>
    <w:rsid w:val="00D307F0"/>
    <w:rsid w:val="00D33E0E"/>
    <w:rsid w:val="00D3636D"/>
    <w:rsid w:val="00D4726D"/>
    <w:rsid w:val="00D57F30"/>
    <w:rsid w:val="00D6054B"/>
    <w:rsid w:val="00D6695E"/>
    <w:rsid w:val="00D723A0"/>
    <w:rsid w:val="00D73933"/>
    <w:rsid w:val="00D75EC5"/>
    <w:rsid w:val="00D7648F"/>
    <w:rsid w:val="00D914D2"/>
    <w:rsid w:val="00D9553C"/>
    <w:rsid w:val="00D96992"/>
    <w:rsid w:val="00DA023B"/>
    <w:rsid w:val="00DB36B3"/>
    <w:rsid w:val="00DB4244"/>
    <w:rsid w:val="00DB7F5C"/>
    <w:rsid w:val="00DC2728"/>
    <w:rsid w:val="00DC3589"/>
    <w:rsid w:val="00DC5E4B"/>
    <w:rsid w:val="00DC713F"/>
    <w:rsid w:val="00DC7F7B"/>
    <w:rsid w:val="00DD39B8"/>
    <w:rsid w:val="00DE7AE0"/>
    <w:rsid w:val="00DF7A20"/>
    <w:rsid w:val="00E04C26"/>
    <w:rsid w:val="00E15E3A"/>
    <w:rsid w:val="00E21317"/>
    <w:rsid w:val="00E21CBD"/>
    <w:rsid w:val="00E25C8E"/>
    <w:rsid w:val="00E46A48"/>
    <w:rsid w:val="00E51EFE"/>
    <w:rsid w:val="00E859CC"/>
    <w:rsid w:val="00E9272E"/>
    <w:rsid w:val="00E97452"/>
    <w:rsid w:val="00EA3D70"/>
    <w:rsid w:val="00EB2019"/>
    <w:rsid w:val="00EC125C"/>
    <w:rsid w:val="00EC3370"/>
    <w:rsid w:val="00EC33C7"/>
    <w:rsid w:val="00EC471A"/>
    <w:rsid w:val="00ED400C"/>
    <w:rsid w:val="00ED4DFD"/>
    <w:rsid w:val="00EE02C2"/>
    <w:rsid w:val="00EF15EF"/>
    <w:rsid w:val="00EF4E7B"/>
    <w:rsid w:val="00EF55EE"/>
    <w:rsid w:val="00EF7643"/>
    <w:rsid w:val="00EF7B3E"/>
    <w:rsid w:val="00F00739"/>
    <w:rsid w:val="00F00789"/>
    <w:rsid w:val="00F15417"/>
    <w:rsid w:val="00F23B2A"/>
    <w:rsid w:val="00F24198"/>
    <w:rsid w:val="00F27B40"/>
    <w:rsid w:val="00F3312B"/>
    <w:rsid w:val="00F33D7F"/>
    <w:rsid w:val="00F40AEC"/>
    <w:rsid w:val="00F43315"/>
    <w:rsid w:val="00F65037"/>
    <w:rsid w:val="00F70D49"/>
    <w:rsid w:val="00F76BF0"/>
    <w:rsid w:val="00F80D63"/>
    <w:rsid w:val="00F8138D"/>
    <w:rsid w:val="00F86946"/>
    <w:rsid w:val="00F92C53"/>
    <w:rsid w:val="00F93A37"/>
    <w:rsid w:val="00F95C26"/>
    <w:rsid w:val="00FA1667"/>
    <w:rsid w:val="00FA3058"/>
    <w:rsid w:val="00FA533F"/>
    <w:rsid w:val="00FA6ACC"/>
    <w:rsid w:val="00FB2AF5"/>
    <w:rsid w:val="00FC219F"/>
    <w:rsid w:val="00FC238D"/>
    <w:rsid w:val="00FD4FAF"/>
    <w:rsid w:val="00FE22A5"/>
    <w:rsid w:val="00FE79BC"/>
    <w:rsid w:val="00FE7DE8"/>
    <w:rsid w:val="00FF30AB"/>
    <w:rsid w:val="00FF3683"/>
    <w:rsid w:val="00FF554F"/>
    <w:rsid w:val="00FF578F"/>
    <w:rsid w:val="00FF7456"/>
    <w:rsid w:val="012C687B"/>
    <w:rsid w:val="01562BF7"/>
    <w:rsid w:val="01785675"/>
    <w:rsid w:val="01B72FDE"/>
    <w:rsid w:val="01B75B74"/>
    <w:rsid w:val="023B5B93"/>
    <w:rsid w:val="032234B3"/>
    <w:rsid w:val="03DE3866"/>
    <w:rsid w:val="03E04B6A"/>
    <w:rsid w:val="03F12CC2"/>
    <w:rsid w:val="03FA4DAE"/>
    <w:rsid w:val="04272D60"/>
    <w:rsid w:val="04441B5E"/>
    <w:rsid w:val="0449110F"/>
    <w:rsid w:val="04922410"/>
    <w:rsid w:val="04E27C10"/>
    <w:rsid w:val="051F7A75"/>
    <w:rsid w:val="053366E6"/>
    <w:rsid w:val="054A6C92"/>
    <w:rsid w:val="054F27C3"/>
    <w:rsid w:val="058B6DA4"/>
    <w:rsid w:val="058C4826"/>
    <w:rsid w:val="058D5B2B"/>
    <w:rsid w:val="05B60993"/>
    <w:rsid w:val="05F10904"/>
    <w:rsid w:val="072E19D4"/>
    <w:rsid w:val="0756780B"/>
    <w:rsid w:val="08200062"/>
    <w:rsid w:val="08325DB5"/>
    <w:rsid w:val="083C7992"/>
    <w:rsid w:val="083E573D"/>
    <w:rsid w:val="08575FBE"/>
    <w:rsid w:val="08617552"/>
    <w:rsid w:val="086735A3"/>
    <w:rsid w:val="0889521E"/>
    <w:rsid w:val="08EC4D76"/>
    <w:rsid w:val="08F438BE"/>
    <w:rsid w:val="09731C0E"/>
    <w:rsid w:val="09B90184"/>
    <w:rsid w:val="0A0D1E0C"/>
    <w:rsid w:val="0A3A6153"/>
    <w:rsid w:val="0A482EEB"/>
    <w:rsid w:val="0A627318"/>
    <w:rsid w:val="0A6328D3"/>
    <w:rsid w:val="0AB410E6"/>
    <w:rsid w:val="0BB43C70"/>
    <w:rsid w:val="0BD95C00"/>
    <w:rsid w:val="0BFC7B7F"/>
    <w:rsid w:val="0C1237DB"/>
    <w:rsid w:val="0C206374"/>
    <w:rsid w:val="0C605AD8"/>
    <w:rsid w:val="0C744FB4"/>
    <w:rsid w:val="0C93659B"/>
    <w:rsid w:val="0CC20740"/>
    <w:rsid w:val="0CC54BB3"/>
    <w:rsid w:val="0CDA3224"/>
    <w:rsid w:val="0CF672D1"/>
    <w:rsid w:val="0D06536D"/>
    <w:rsid w:val="0D0B7276"/>
    <w:rsid w:val="0D113AB2"/>
    <w:rsid w:val="0D4A6D5B"/>
    <w:rsid w:val="0D5A58EB"/>
    <w:rsid w:val="0DEC0AE2"/>
    <w:rsid w:val="0E506644"/>
    <w:rsid w:val="0EAC03A0"/>
    <w:rsid w:val="0EDA076B"/>
    <w:rsid w:val="0F65746E"/>
    <w:rsid w:val="0F8F7B0D"/>
    <w:rsid w:val="0FBF6FF0"/>
    <w:rsid w:val="0FCD031D"/>
    <w:rsid w:val="0FD77389"/>
    <w:rsid w:val="10090E5D"/>
    <w:rsid w:val="100C763C"/>
    <w:rsid w:val="105E5277"/>
    <w:rsid w:val="109542C4"/>
    <w:rsid w:val="109B61CD"/>
    <w:rsid w:val="10DE213A"/>
    <w:rsid w:val="10FF0696"/>
    <w:rsid w:val="11532616"/>
    <w:rsid w:val="116F3C27"/>
    <w:rsid w:val="117B32BD"/>
    <w:rsid w:val="1184614B"/>
    <w:rsid w:val="11EA09CA"/>
    <w:rsid w:val="11F6508A"/>
    <w:rsid w:val="12071486"/>
    <w:rsid w:val="122A23F0"/>
    <w:rsid w:val="128C30FA"/>
    <w:rsid w:val="12A365A3"/>
    <w:rsid w:val="12B63608"/>
    <w:rsid w:val="12FE3439"/>
    <w:rsid w:val="13110DD5"/>
    <w:rsid w:val="13165595"/>
    <w:rsid w:val="13371015"/>
    <w:rsid w:val="134712AF"/>
    <w:rsid w:val="13611E59"/>
    <w:rsid w:val="13693E46"/>
    <w:rsid w:val="136A4CE7"/>
    <w:rsid w:val="1379070E"/>
    <w:rsid w:val="13EE74BE"/>
    <w:rsid w:val="143C0B97"/>
    <w:rsid w:val="14687188"/>
    <w:rsid w:val="14732F9B"/>
    <w:rsid w:val="14782CA6"/>
    <w:rsid w:val="14A532A1"/>
    <w:rsid w:val="14BF1D95"/>
    <w:rsid w:val="151F0EB5"/>
    <w:rsid w:val="15565876"/>
    <w:rsid w:val="156E3D04"/>
    <w:rsid w:val="15A54611"/>
    <w:rsid w:val="15CF79D4"/>
    <w:rsid w:val="15E8637F"/>
    <w:rsid w:val="16560BB2"/>
    <w:rsid w:val="16760498"/>
    <w:rsid w:val="167669E7"/>
    <w:rsid w:val="16B11CB1"/>
    <w:rsid w:val="16F37B36"/>
    <w:rsid w:val="176F4F02"/>
    <w:rsid w:val="177244BD"/>
    <w:rsid w:val="17725E86"/>
    <w:rsid w:val="178B572B"/>
    <w:rsid w:val="17982843"/>
    <w:rsid w:val="17B26C70"/>
    <w:rsid w:val="17DB0903"/>
    <w:rsid w:val="17E52942"/>
    <w:rsid w:val="1855493F"/>
    <w:rsid w:val="1887214B"/>
    <w:rsid w:val="18B34294"/>
    <w:rsid w:val="18DF7FE8"/>
    <w:rsid w:val="19BD7FCA"/>
    <w:rsid w:val="19D05965"/>
    <w:rsid w:val="1A49562F"/>
    <w:rsid w:val="1A8E59AF"/>
    <w:rsid w:val="1A8F2520"/>
    <w:rsid w:val="1A955D8A"/>
    <w:rsid w:val="1AB3725D"/>
    <w:rsid w:val="1AD340DB"/>
    <w:rsid w:val="1ADE05E2"/>
    <w:rsid w:val="1B1C3409"/>
    <w:rsid w:val="1B3255AD"/>
    <w:rsid w:val="1B393FC1"/>
    <w:rsid w:val="1B633B7D"/>
    <w:rsid w:val="1B9C71DA"/>
    <w:rsid w:val="1BA05B71"/>
    <w:rsid w:val="1BA57518"/>
    <w:rsid w:val="1BD54DB6"/>
    <w:rsid w:val="1BD815BE"/>
    <w:rsid w:val="1BEE3761"/>
    <w:rsid w:val="1BFD5C42"/>
    <w:rsid w:val="1C2A22C1"/>
    <w:rsid w:val="1C361957"/>
    <w:rsid w:val="1C395ACC"/>
    <w:rsid w:val="1C484BD1"/>
    <w:rsid w:val="1CC00AB7"/>
    <w:rsid w:val="1CC214DB"/>
    <w:rsid w:val="1CDD2776"/>
    <w:rsid w:val="1CDF6DC5"/>
    <w:rsid w:val="1CFD64A9"/>
    <w:rsid w:val="1D0C0706"/>
    <w:rsid w:val="1D6445C8"/>
    <w:rsid w:val="1DCA77EF"/>
    <w:rsid w:val="1DDD2F8D"/>
    <w:rsid w:val="1E455657"/>
    <w:rsid w:val="1E8A2551"/>
    <w:rsid w:val="1EFF4369"/>
    <w:rsid w:val="1F710E25"/>
    <w:rsid w:val="1F7652AC"/>
    <w:rsid w:val="1FA50867"/>
    <w:rsid w:val="20112F2C"/>
    <w:rsid w:val="202A02E8"/>
    <w:rsid w:val="204022D8"/>
    <w:rsid w:val="20F32DEF"/>
    <w:rsid w:val="216215D5"/>
    <w:rsid w:val="21870A70"/>
    <w:rsid w:val="21C328F3"/>
    <w:rsid w:val="21FB04CE"/>
    <w:rsid w:val="223573AF"/>
    <w:rsid w:val="229606CD"/>
    <w:rsid w:val="2297034D"/>
    <w:rsid w:val="229E7CD7"/>
    <w:rsid w:val="229F26DF"/>
    <w:rsid w:val="2302327F"/>
    <w:rsid w:val="23082ED8"/>
    <w:rsid w:val="232C07AC"/>
    <w:rsid w:val="23411146"/>
    <w:rsid w:val="23EF5E38"/>
    <w:rsid w:val="23FD0F19"/>
    <w:rsid w:val="24556CF8"/>
    <w:rsid w:val="24E67C40"/>
    <w:rsid w:val="24F07227"/>
    <w:rsid w:val="251E0675"/>
    <w:rsid w:val="25A951E4"/>
    <w:rsid w:val="25C40884"/>
    <w:rsid w:val="25C82C57"/>
    <w:rsid w:val="25D2561C"/>
    <w:rsid w:val="25D97C51"/>
    <w:rsid w:val="260C0C79"/>
    <w:rsid w:val="262940BD"/>
    <w:rsid w:val="265E5200"/>
    <w:rsid w:val="267F234A"/>
    <w:rsid w:val="26B24032"/>
    <w:rsid w:val="26B62ADA"/>
    <w:rsid w:val="270B661D"/>
    <w:rsid w:val="273B2761"/>
    <w:rsid w:val="27401076"/>
    <w:rsid w:val="2741502E"/>
    <w:rsid w:val="27D824EE"/>
    <w:rsid w:val="280136B2"/>
    <w:rsid w:val="281E099D"/>
    <w:rsid w:val="282A31F1"/>
    <w:rsid w:val="282C18E4"/>
    <w:rsid w:val="28836D01"/>
    <w:rsid w:val="28990513"/>
    <w:rsid w:val="28AA2846"/>
    <w:rsid w:val="29283114"/>
    <w:rsid w:val="292D1B70"/>
    <w:rsid w:val="29BD1409"/>
    <w:rsid w:val="29C51798"/>
    <w:rsid w:val="29CB291D"/>
    <w:rsid w:val="2A803E28"/>
    <w:rsid w:val="2A8E045D"/>
    <w:rsid w:val="2AAC620A"/>
    <w:rsid w:val="2AD134D0"/>
    <w:rsid w:val="2AD157E9"/>
    <w:rsid w:val="2AD464BD"/>
    <w:rsid w:val="2AD64402"/>
    <w:rsid w:val="2B0B32AA"/>
    <w:rsid w:val="2B7C6874"/>
    <w:rsid w:val="2B966A33"/>
    <w:rsid w:val="2BF000A4"/>
    <w:rsid w:val="2C0931CD"/>
    <w:rsid w:val="2C2E2107"/>
    <w:rsid w:val="2C332846"/>
    <w:rsid w:val="2C3F7E23"/>
    <w:rsid w:val="2C4C7FAC"/>
    <w:rsid w:val="2C787FCC"/>
    <w:rsid w:val="2C940BB2"/>
    <w:rsid w:val="2CA929C0"/>
    <w:rsid w:val="2D3B618B"/>
    <w:rsid w:val="2D520878"/>
    <w:rsid w:val="2D886EC1"/>
    <w:rsid w:val="2DA3210B"/>
    <w:rsid w:val="2DBB2B93"/>
    <w:rsid w:val="2E2F793E"/>
    <w:rsid w:val="2E992581"/>
    <w:rsid w:val="2ED25BDE"/>
    <w:rsid w:val="2EFF79A7"/>
    <w:rsid w:val="2F137D7A"/>
    <w:rsid w:val="2F3F0791"/>
    <w:rsid w:val="2F5C4D3D"/>
    <w:rsid w:val="2FA6143A"/>
    <w:rsid w:val="2FC20D6A"/>
    <w:rsid w:val="30356A76"/>
    <w:rsid w:val="303867AA"/>
    <w:rsid w:val="308A2D31"/>
    <w:rsid w:val="30A35E59"/>
    <w:rsid w:val="312B4AB9"/>
    <w:rsid w:val="312F12EE"/>
    <w:rsid w:val="314C1846"/>
    <w:rsid w:val="31A47A8A"/>
    <w:rsid w:val="31BF532C"/>
    <w:rsid w:val="327A7C5E"/>
    <w:rsid w:val="328823F9"/>
    <w:rsid w:val="32B34462"/>
    <w:rsid w:val="32E20907"/>
    <w:rsid w:val="33091D11"/>
    <w:rsid w:val="33706858"/>
    <w:rsid w:val="339A00B5"/>
    <w:rsid w:val="33A90403"/>
    <w:rsid w:val="33B021C2"/>
    <w:rsid w:val="33CB0884"/>
    <w:rsid w:val="34386CBA"/>
    <w:rsid w:val="344A37EF"/>
    <w:rsid w:val="34677809"/>
    <w:rsid w:val="346F6E14"/>
    <w:rsid w:val="34894F51"/>
    <w:rsid w:val="348A1568"/>
    <w:rsid w:val="34C45C9F"/>
    <w:rsid w:val="34EC7A62"/>
    <w:rsid w:val="34ED71D7"/>
    <w:rsid w:val="35497DFC"/>
    <w:rsid w:val="355116D3"/>
    <w:rsid w:val="357F3FB8"/>
    <w:rsid w:val="35982C6C"/>
    <w:rsid w:val="361F64F5"/>
    <w:rsid w:val="363B2C08"/>
    <w:rsid w:val="3652282D"/>
    <w:rsid w:val="366E2B71"/>
    <w:rsid w:val="36712C3D"/>
    <w:rsid w:val="369E4EAA"/>
    <w:rsid w:val="36DA02B7"/>
    <w:rsid w:val="36E110C9"/>
    <w:rsid w:val="36E3431A"/>
    <w:rsid w:val="37225230"/>
    <w:rsid w:val="37587B5C"/>
    <w:rsid w:val="375955DE"/>
    <w:rsid w:val="376C3BC3"/>
    <w:rsid w:val="37A67753"/>
    <w:rsid w:val="37C6490D"/>
    <w:rsid w:val="38E96536"/>
    <w:rsid w:val="396E60F2"/>
    <w:rsid w:val="39BF6AC6"/>
    <w:rsid w:val="39C44E13"/>
    <w:rsid w:val="3A171E85"/>
    <w:rsid w:val="3A32028A"/>
    <w:rsid w:val="3A385485"/>
    <w:rsid w:val="3A6E1ECB"/>
    <w:rsid w:val="3A9C6182"/>
    <w:rsid w:val="3ADB199C"/>
    <w:rsid w:val="3AF834CA"/>
    <w:rsid w:val="3B1A787E"/>
    <w:rsid w:val="3B212110"/>
    <w:rsid w:val="3B5271AE"/>
    <w:rsid w:val="3B6B4404"/>
    <w:rsid w:val="3B83140E"/>
    <w:rsid w:val="3B840AAF"/>
    <w:rsid w:val="3B8678B6"/>
    <w:rsid w:val="3BB33BFE"/>
    <w:rsid w:val="3C022A83"/>
    <w:rsid w:val="3C0D4125"/>
    <w:rsid w:val="3C1C7DAA"/>
    <w:rsid w:val="3C9C50DC"/>
    <w:rsid w:val="3CD91462"/>
    <w:rsid w:val="3CFA521A"/>
    <w:rsid w:val="3D145DC3"/>
    <w:rsid w:val="3D595233"/>
    <w:rsid w:val="3D716CED"/>
    <w:rsid w:val="3DE5069A"/>
    <w:rsid w:val="3E2A590C"/>
    <w:rsid w:val="3F6D7BBB"/>
    <w:rsid w:val="3F996DE7"/>
    <w:rsid w:val="3FC73382"/>
    <w:rsid w:val="3FE710E5"/>
    <w:rsid w:val="4032477F"/>
    <w:rsid w:val="40440C61"/>
    <w:rsid w:val="40E054C7"/>
    <w:rsid w:val="41101E67"/>
    <w:rsid w:val="4135208B"/>
    <w:rsid w:val="414666B5"/>
    <w:rsid w:val="414D6A54"/>
    <w:rsid w:val="419A71F3"/>
    <w:rsid w:val="41DC6530"/>
    <w:rsid w:val="41E975B0"/>
    <w:rsid w:val="41F72149"/>
    <w:rsid w:val="42145E76"/>
    <w:rsid w:val="422B389D"/>
    <w:rsid w:val="427F3327"/>
    <w:rsid w:val="429060EA"/>
    <w:rsid w:val="42D74990"/>
    <w:rsid w:val="42F567E9"/>
    <w:rsid w:val="432F0FB3"/>
    <w:rsid w:val="438B2560"/>
    <w:rsid w:val="43A00E80"/>
    <w:rsid w:val="44071B29"/>
    <w:rsid w:val="441049B7"/>
    <w:rsid w:val="441379F2"/>
    <w:rsid w:val="441930C8"/>
    <w:rsid w:val="448E08A3"/>
    <w:rsid w:val="44EA090C"/>
    <w:rsid w:val="450C66EB"/>
    <w:rsid w:val="45591E70"/>
    <w:rsid w:val="45624364"/>
    <w:rsid w:val="457110FB"/>
    <w:rsid w:val="459638BA"/>
    <w:rsid w:val="463446BC"/>
    <w:rsid w:val="469211D3"/>
    <w:rsid w:val="46C61A2D"/>
    <w:rsid w:val="472707CD"/>
    <w:rsid w:val="47852BC0"/>
    <w:rsid w:val="47E80980"/>
    <w:rsid w:val="47EF5275"/>
    <w:rsid w:val="47F75622"/>
    <w:rsid w:val="48262E51"/>
    <w:rsid w:val="48673685"/>
    <w:rsid w:val="491E2E86"/>
    <w:rsid w:val="494168BE"/>
    <w:rsid w:val="497F11C2"/>
    <w:rsid w:val="499B5CD3"/>
    <w:rsid w:val="49A3785C"/>
    <w:rsid w:val="49A464A0"/>
    <w:rsid w:val="4A051617"/>
    <w:rsid w:val="4A2778A6"/>
    <w:rsid w:val="4A876BD5"/>
    <w:rsid w:val="4A8D0ADE"/>
    <w:rsid w:val="4A9546D8"/>
    <w:rsid w:val="4AAA7711"/>
    <w:rsid w:val="4AC00034"/>
    <w:rsid w:val="4AD124CC"/>
    <w:rsid w:val="4B076F62"/>
    <w:rsid w:val="4B0B13AD"/>
    <w:rsid w:val="4B611E8C"/>
    <w:rsid w:val="4B722358"/>
    <w:rsid w:val="4B8D6483"/>
    <w:rsid w:val="4B986A12"/>
    <w:rsid w:val="4BB53DC4"/>
    <w:rsid w:val="4BF300EC"/>
    <w:rsid w:val="4C586E50"/>
    <w:rsid w:val="4CDE4B2B"/>
    <w:rsid w:val="4CE950BA"/>
    <w:rsid w:val="4D774610"/>
    <w:rsid w:val="4D7E7648"/>
    <w:rsid w:val="4DA954F8"/>
    <w:rsid w:val="4DF542F3"/>
    <w:rsid w:val="4E056842"/>
    <w:rsid w:val="4E0D453F"/>
    <w:rsid w:val="4E113C23"/>
    <w:rsid w:val="4E6F1A3E"/>
    <w:rsid w:val="4E7735C7"/>
    <w:rsid w:val="4E8726EB"/>
    <w:rsid w:val="4E912727"/>
    <w:rsid w:val="4ED74CDA"/>
    <w:rsid w:val="4EEB1F69"/>
    <w:rsid w:val="4EED11AF"/>
    <w:rsid w:val="4F4A13A1"/>
    <w:rsid w:val="4F9D33AA"/>
    <w:rsid w:val="4FBB30CE"/>
    <w:rsid w:val="4FDF4343"/>
    <w:rsid w:val="4FEE5D92"/>
    <w:rsid w:val="5008134F"/>
    <w:rsid w:val="50092F8E"/>
    <w:rsid w:val="50186577"/>
    <w:rsid w:val="504F6D33"/>
    <w:rsid w:val="507307D1"/>
    <w:rsid w:val="50812723"/>
    <w:rsid w:val="50C22F3B"/>
    <w:rsid w:val="5139664E"/>
    <w:rsid w:val="51424D5F"/>
    <w:rsid w:val="514327E1"/>
    <w:rsid w:val="51750A31"/>
    <w:rsid w:val="51D569AB"/>
    <w:rsid w:val="5202523E"/>
    <w:rsid w:val="52212A0C"/>
    <w:rsid w:val="52FF0538"/>
    <w:rsid w:val="53370692"/>
    <w:rsid w:val="53672F77"/>
    <w:rsid w:val="53F01145"/>
    <w:rsid w:val="54B95788"/>
    <w:rsid w:val="54E32CBF"/>
    <w:rsid w:val="54E603D9"/>
    <w:rsid w:val="54E838DC"/>
    <w:rsid w:val="55167ADF"/>
    <w:rsid w:val="55866C5D"/>
    <w:rsid w:val="558C43EA"/>
    <w:rsid w:val="55BE361E"/>
    <w:rsid w:val="560F50B3"/>
    <w:rsid w:val="5621723E"/>
    <w:rsid w:val="5622235F"/>
    <w:rsid w:val="563436FD"/>
    <w:rsid w:val="564F598F"/>
    <w:rsid w:val="568E3AD3"/>
    <w:rsid w:val="56BB1258"/>
    <w:rsid w:val="56D70B89"/>
    <w:rsid w:val="56E4241D"/>
    <w:rsid w:val="56FF3FAA"/>
    <w:rsid w:val="57467D1D"/>
    <w:rsid w:val="574D2167"/>
    <w:rsid w:val="57500440"/>
    <w:rsid w:val="5782579E"/>
    <w:rsid w:val="57851700"/>
    <w:rsid w:val="58050A03"/>
    <w:rsid w:val="5810652D"/>
    <w:rsid w:val="583C4F09"/>
    <w:rsid w:val="588D01EC"/>
    <w:rsid w:val="59B911A1"/>
    <w:rsid w:val="59D10C5C"/>
    <w:rsid w:val="5A2B4431"/>
    <w:rsid w:val="5A615BD7"/>
    <w:rsid w:val="5B4019C2"/>
    <w:rsid w:val="5B77571F"/>
    <w:rsid w:val="5B8853FB"/>
    <w:rsid w:val="5BAE1AFA"/>
    <w:rsid w:val="5BC07242"/>
    <w:rsid w:val="5BDA6F0A"/>
    <w:rsid w:val="5BDC2FE2"/>
    <w:rsid w:val="5BF47723"/>
    <w:rsid w:val="5C1509E5"/>
    <w:rsid w:val="5C7B1749"/>
    <w:rsid w:val="5C9B27BA"/>
    <w:rsid w:val="5CFC2F9C"/>
    <w:rsid w:val="5D1715C8"/>
    <w:rsid w:val="5D1B5DD0"/>
    <w:rsid w:val="5D21575A"/>
    <w:rsid w:val="5D620742"/>
    <w:rsid w:val="5D803576"/>
    <w:rsid w:val="5DA4233B"/>
    <w:rsid w:val="5DEF19B9"/>
    <w:rsid w:val="5DFB763C"/>
    <w:rsid w:val="5DFC50BD"/>
    <w:rsid w:val="5E716381"/>
    <w:rsid w:val="5EA30D39"/>
    <w:rsid w:val="5EBC76FA"/>
    <w:rsid w:val="5EBD2F7D"/>
    <w:rsid w:val="5ECC1F13"/>
    <w:rsid w:val="5F14629A"/>
    <w:rsid w:val="5F441A67"/>
    <w:rsid w:val="5F4750E0"/>
    <w:rsid w:val="5F7C037B"/>
    <w:rsid w:val="5FD9588D"/>
    <w:rsid w:val="60017D91"/>
    <w:rsid w:val="6018255B"/>
    <w:rsid w:val="6032214C"/>
    <w:rsid w:val="60343A63"/>
    <w:rsid w:val="606232AE"/>
    <w:rsid w:val="60790CD5"/>
    <w:rsid w:val="60DB1C73"/>
    <w:rsid w:val="60DD7375"/>
    <w:rsid w:val="60E768D0"/>
    <w:rsid w:val="61081DD1"/>
    <w:rsid w:val="61096F7A"/>
    <w:rsid w:val="610E3029"/>
    <w:rsid w:val="6124336C"/>
    <w:rsid w:val="61292B4F"/>
    <w:rsid w:val="612F4F80"/>
    <w:rsid w:val="61373C36"/>
    <w:rsid w:val="615109B8"/>
    <w:rsid w:val="61A00B8F"/>
    <w:rsid w:val="61DC2B1A"/>
    <w:rsid w:val="61F247B7"/>
    <w:rsid w:val="62045246"/>
    <w:rsid w:val="6217167A"/>
    <w:rsid w:val="62386EDA"/>
    <w:rsid w:val="62860C95"/>
    <w:rsid w:val="62CC1D94"/>
    <w:rsid w:val="62EC3532"/>
    <w:rsid w:val="63547F41"/>
    <w:rsid w:val="638763D9"/>
    <w:rsid w:val="63A922B3"/>
    <w:rsid w:val="6449314F"/>
    <w:rsid w:val="64741502"/>
    <w:rsid w:val="64A358AC"/>
    <w:rsid w:val="64B21C64"/>
    <w:rsid w:val="6510045E"/>
    <w:rsid w:val="655D4CDA"/>
    <w:rsid w:val="656F518E"/>
    <w:rsid w:val="66216657"/>
    <w:rsid w:val="66487559"/>
    <w:rsid w:val="664A4D92"/>
    <w:rsid w:val="66721FC2"/>
    <w:rsid w:val="66756D59"/>
    <w:rsid w:val="6679192E"/>
    <w:rsid w:val="66B25959"/>
    <w:rsid w:val="66D5282C"/>
    <w:rsid w:val="66DB09CF"/>
    <w:rsid w:val="674E3DF0"/>
    <w:rsid w:val="67B92DBE"/>
    <w:rsid w:val="67BE43AB"/>
    <w:rsid w:val="68256629"/>
    <w:rsid w:val="682F7FFB"/>
    <w:rsid w:val="685D37C7"/>
    <w:rsid w:val="688D0CC5"/>
    <w:rsid w:val="68B90CB2"/>
    <w:rsid w:val="68E95479"/>
    <w:rsid w:val="69154B8A"/>
    <w:rsid w:val="69262B12"/>
    <w:rsid w:val="692A5DD2"/>
    <w:rsid w:val="693571E0"/>
    <w:rsid w:val="69621119"/>
    <w:rsid w:val="69F03C74"/>
    <w:rsid w:val="6A2B4494"/>
    <w:rsid w:val="6A4341E3"/>
    <w:rsid w:val="6ABF0C4F"/>
    <w:rsid w:val="6AFD6E95"/>
    <w:rsid w:val="6AFE4916"/>
    <w:rsid w:val="6B463AD3"/>
    <w:rsid w:val="6B850073"/>
    <w:rsid w:val="6B8D2F01"/>
    <w:rsid w:val="6BA32EA6"/>
    <w:rsid w:val="6BB71B46"/>
    <w:rsid w:val="6BE771E0"/>
    <w:rsid w:val="6BF105FF"/>
    <w:rsid w:val="6C0D6CD2"/>
    <w:rsid w:val="6C3D7821"/>
    <w:rsid w:val="6C4D333F"/>
    <w:rsid w:val="6C4E553D"/>
    <w:rsid w:val="6C6110BF"/>
    <w:rsid w:val="6CD74A6D"/>
    <w:rsid w:val="6CFE1E3B"/>
    <w:rsid w:val="6D84656C"/>
    <w:rsid w:val="6D9F3BE5"/>
    <w:rsid w:val="6DB203FF"/>
    <w:rsid w:val="6DE05CD4"/>
    <w:rsid w:val="6DEB74D8"/>
    <w:rsid w:val="6DFD7E7C"/>
    <w:rsid w:val="6E32225B"/>
    <w:rsid w:val="6E334459"/>
    <w:rsid w:val="6E5714FF"/>
    <w:rsid w:val="6F2B6BEF"/>
    <w:rsid w:val="6F310AF8"/>
    <w:rsid w:val="6F360803"/>
    <w:rsid w:val="6F7C56F5"/>
    <w:rsid w:val="6F873A86"/>
    <w:rsid w:val="6FCA43FE"/>
    <w:rsid w:val="6FD75B93"/>
    <w:rsid w:val="70077534"/>
    <w:rsid w:val="70080B5C"/>
    <w:rsid w:val="70126BC7"/>
    <w:rsid w:val="70307D42"/>
    <w:rsid w:val="705553D8"/>
    <w:rsid w:val="70A0425A"/>
    <w:rsid w:val="70AC166A"/>
    <w:rsid w:val="70E5402B"/>
    <w:rsid w:val="714C18BC"/>
    <w:rsid w:val="716B3833"/>
    <w:rsid w:val="717A746F"/>
    <w:rsid w:val="718C2ED6"/>
    <w:rsid w:val="718F3E5B"/>
    <w:rsid w:val="71C77838"/>
    <w:rsid w:val="71D22D7A"/>
    <w:rsid w:val="71F24C08"/>
    <w:rsid w:val="72070621"/>
    <w:rsid w:val="722865D8"/>
    <w:rsid w:val="727F276B"/>
    <w:rsid w:val="72A72729"/>
    <w:rsid w:val="72F07947"/>
    <w:rsid w:val="72FC60A4"/>
    <w:rsid w:val="73042AC3"/>
    <w:rsid w:val="732764FB"/>
    <w:rsid w:val="734207AF"/>
    <w:rsid w:val="739553D7"/>
    <w:rsid w:val="73E269A6"/>
    <w:rsid w:val="73FE06C5"/>
    <w:rsid w:val="74350C36"/>
    <w:rsid w:val="74621B1D"/>
    <w:rsid w:val="7464257C"/>
    <w:rsid w:val="74666DF6"/>
    <w:rsid w:val="74A96777"/>
    <w:rsid w:val="74D777E8"/>
    <w:rsid w:val="74F963F6"/>
    <w:rsid w:val="74FA76FB"/>
    <w:rsid w:val="752217B8"/>
    <w:rsid w:val="7523723A"/>
    <w:rsid w:val="75442FF2"/>
    <w:rsid w:val="757949F0"/>
    <w:rsid w:val="75D75DE4"/>
    <w:rsid w:val="76466098"/>
    <w:rsid w:val="764F0F26"/>
    <w:rsid w:val="768716B0"/>
    <w:rsid w:val="76A72C39"/>
    <w:rsid w:val="77016106"/>
    <w:rsid w:val="773A7C2A"/>
    <w:rsid w:val="776C5E7A"/>
    <w:rsid w:val="77866A24"/>
    <w:rsid w:val="77981002"/>
    <w:rsid w:val="77CC4F9A"/>
    <w:rsid w:val="77F21BB9"/>
    <w:rsid w:val="78223477"/>
    <w:rsid w:val="784760C5"/>
    <w:rsid w:val="789D1A6F"/>
    <w:rsid w:val="789E7CD8"/>
    <w:rsid w:val="79032A98"/>
    <w:rsid w:val="7918496C"/>
    <w:rsid w:val="791D5841"/>
    <w:rsid w:val="795E1A03"/>
    <w:rsid w:val="799C1992"/>
    <w:rsid w:val="79E113BD"/>
    <w:rsid w:val="7A207202"/>
    <w:rsid w:val="7A4869B1"/>
    <w:rsid w:val="7A6647DD"/>
    <w:rsid w:val="7A8E0021"/>
    <w:rsid w:val="7A905959"/>
    <w:rsid w:val="7ACF1679"/>
    <w:rsid w:val="7ADB489D"/>
    <w:rsid w:val="7AFF705B"/>
    <w:rsid w:val="7B3152AC"/>
    <w:rsid w:val="7B5B3EF1"/>
    <w:rsid w:val="7B873D32"/>
    <w:rsid w:val="7C014C99"/>
    <w:rsid w:val="7C1B2CAB"/>
    <w:rsid w:val="7C2648BF"/>
    <w:rsid w:val="7C3334D6"/>
    <w:rsid w:val="7C536688"/>
    <w:rsid w:val="7D1F3620"/>
    <w:rsid w:val="7D2B43BB"/>
    <w:rsid w:val="7D8540F1"/>
    <w:rsid w:val="7D9D7924"/>
    <w:rsid w:val="7DEC5247"/>
    <w:rsid w:val="7DF601EB"/>
    <w:rsid w:val="7E1F6BF8"/>
    <w:rsid w:val="7E34331A"/>
    <w:rsid w:val="7EB65E72"/>
    <w:rsid w:val="7ECF286F"/>
    <w:rsid w:val="7EF8435D"/>
    <w:rsid w:val="7F4E37F7"/>
    <w:rsid w:val="7F712D22"/>
    <w:rsid w:val="7FBB0BC4"/>
    <w:rsid w:val="7FEA29EC"/>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D77399B"/>
  <w15:docId w15:val="{78193A61-C4B5-43EC-A512-5B505D041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kern w:val="2"/>
      <w:sz w:val="22"/>
      <w:szCs w:val="22"/>
      <w:lang w:eastAsia="en-US"/>
      <w14:ligatures w14:val="standardContextual"/>
    </w:rPr>
  </w:style>
  <w:style w:type="paragraph" w:styleId="Ttulo1">
    <w:name w:val="heading 1"/>
    <w:basedOn w:val="Normal"/>
    <w:next w:val="Normal"/>
    <w:link w:val="Ttulo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unhideWhenUsed/>
    <w:qFormat/>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Ttulo9">
    <w:name w:val="heading 9"/>
    <w:basedOn w:val="Normal"/>
    <w:next w:val="Normal"/>
    <w:link w:val="Ttulo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Pr>
      <w:b/>
      <w:bCs/>
    </w:rPr>
  </w:style>
  <w:style w:type="character" w:styleId="CdigoHTML">
    <w:name w:val="HTML Code"/>
    <w:basedOn w:val="Fontepargpadro"/>
    <w:uiPriority w:val="99"/>
    <w:semiHidden/>
    <w:unhideWhenUsed/>
    <w:qFormat/>
    <w:rPr>
      <w:rFonts w:ascii="Courier New" w:hAnsi="Courier New" w:cs="Courier New"/>
      <w:sz w:val="20"/>
      <w:szCs w:val="20"/>
    </w:rPr>
  </w:style>
  <w:style w:type="character" w:styleId="nfase">
    <w:name w:val="Emphasis"/>
    <w:basedOn w:val="Fontepargpadro"/>
    <w:uiPriority w:val="20"/>
    <w:qFormat/>
    <w:rPr>
      <w:i/>
      <w:iCs/>
    </w:rPr>
  </w:style>
  <w:style w:type="character" w:styleId="CitaoHTML">
    <w:name w:val="HTML Cite"/>
    <w:basedOn w:val="Fontepargpadro"/>
    <w:uiPriority w:val="99"/>
    <w:semiHidden/>
    <w:unhideWhenUsed/>
    <w:qFormat/>
    <w:rPr>
      <w:i/>
      <w:iCs/>
    </w:rPr>
  </w:style>
  <w:style w:type="character" w:styleId="Hyperlink">
    <w:name w:val="Hyperlink"/>
    <w:basedOn w:val="Fontepargpadro"/>
    <w:uiPriority w:val="99"/>
    <w:unhideWhenUsed/>
    <w:qFormat/>
    <w:rPr>
      <w:color w:val="0563C1" w:themeColor="hyperlink"/>
      <w:u w:val="single"/>
    </w:rPr>
  </w:style>
  <w:style w:type="paragraph" w:styleId="Corpodetexto">
    <w:name w:val="Body Text"/>
    <w:basedOn w:val="Normal"/>
    <w:uiPriority w:val="1"/>
    <w:qFormat/>
    <w:rPr>
      <w:rFonts w:ascii="Times New Roman" w:eastAsia="Times New Roman" w:hAnsi="Times New Roman" w:cs="Times New Roman"/>
      <w:lang w:val="en-US"/>
    </w:rPr>
  </w:style>
  <w:style w:type="paragraph" w:styleId="Ttulo">
    <w:name w:val="Title"/>
    <w:basedOn w:val="Normal"/>
    <w:link w:val="Ttulo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qFormat/>
    <w:pPr>
      <w:spacing w:beforeAutospacing="1" w:afterAutospacing="1"/>
    </w:pPr>
    <w:rPr>
      <w:rFonts w:ascii="Times New Roman" w:eastAsia="SimSun" w:hAnsi="Times New Roman" w:cs="Times New Roman"/>
      <w:szCs w:val="24"/>
      <w:lang w:val="en-US" w:eastAsia="zh-CN"/>
    </w:rPr>
  </w:style>
  <w:style w:type="paragraph" w:styleId="Cabealho">
    <w:name w:val="header"/>
    <w:basedOn w:val="Normal"/>
    <w:link w:val="CabealhoChar"/>
    <w:uiPriority w:val="99"/>
    <w:unhideWhenUsed/>
    <w:qFormat/>
    <w:pPr>
      <w:tabs>
        <w:tab w:val="center" w:pos="4252"/>
        <w:tab w:val="right" w:pos="8504"/>
      </w:tabs>
      <w:spacing w:after="0" w:line="240" w:lineRule="auto"/>
    </w:pPr>
  </w:style>
  <w:style w:type="paragraph" w:styleId="Rodap">
    <w:name w:val="footer"/>
    <w:basedOn w:val="Normal"/>
    <w:link w:val="RodapChar"/>
    <w:uiPriority w:val="99"/>
    <w:unhideWhenUsed/>
    <w:qFormat/>
    <w:pPr>
      <w:tabs>
        <w:tab w:val="center" w:pos="4252"/>
        <w:tab w:val="right" w:pos="8504"/>
      </w:tabs>
      <w:spacing w:after="0" w:line="240" w:lineRule="auto"/>
    </w:pPr>
  </w:style>
  <w:style w:type="paragraph" w:styleId="Subttulo">
    <w:name w:val="Subtitle"/>
    <w:basedOn w:val="Normal"/>
    <w:next w:val="Normal"/>
    <w:link w:val="SubttuloChar"/>
    <w:uiPriority w:val="11"/>
    <w:qFormat/>
    <w:rPr>
      <w:rFonts w:eastAsiaTheme="majorEastAsia" w:cstheme="majorBidi"/>
      <w:color w:val="595959" w:themeColor="text1" w:themeTint="A6"/>
      <w:spacing w:val="15"/>
      <w:sz w:val="28"/>
      <w:szCs w:val="28"/>
    </w:rPr>
  </w:style>
  <w:style w:type="table" w:styleId="Tabelacomgrade">
    <w:name w:val="Table Grid"/>
    <w:uiPriority w:val="99"/>
    <w:qFormat/>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0" w:type="dxa"/>
        <w:bottom w:w="0" w:type="dxa"/>
        <w:right w:w="100" w:type="dxa"/>
      </w:tblCellMar>
    </w:tblPr>
    <w:tcPr>
      <w:tcBorders>
        <w:top w:val="single" w:sz="2" w:space="0" w:color="auto"/>
        <w:left w:val="single" w:sz="2" w:space="0" w:color="auto"/>
        <w:bottom w:val="single" w:sz="2" w:space="0" w:color="auto"/>
        <w:right w:val="single" w:sz="2" w:space="0" w:color="auto"/>
      </w:tcBorders>
    </w:tcPr>
  </w:style>
  <w:style w:type="character" w:customStyle="1" w:styleId="Ttulo1Char">
    <w:name w:val="Título 1 Char"/>
    <w:basedOn w:val="Fontepargpadro"/>
    <w:link w:val="Ttulo1"/>
    <w:uiPriority w:val="9"/>
    <w:qFormat/>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qFormat/>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qFormat/>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qFormat/>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qFormat/>
    <w:rPr>
      <w:rFonts w:eastAsiaTheme="majorEastAsia" w:cstheme="majorBidi"/>
      <w:color w:val="2F5496" w:themeColor="accent1" w:themeShade="BF"/>
    </w:rPr>
  </w:style>
  <w:style w:type="character" w:customStyle="1" w:styleId="Ttulo6Char">
    <w:name w:val="Título 6 Char"/>
    <w:basedOn w:val="Fontepargpadro"/>
    <w:link w:val="Ttulo6"/>
    <w:uiPriority w:val="9"/>
    <w:semiHidden/>
    <w:qFormat/>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qFormat/>
    <w:rPr>
      <w:rFonts w:eastAsiaTheme="majorEastAsia" w:cstheme="majorBidi"/>
      <w:color w:val="595959" w:themeColor="text1" w:themeTint="A6"/>
    </w:rPr>
  </w:style>
  <w:style w:type="character" w:customStyle="1" w:styleId="Ttulo8Char">
    <w:name w:val="Título 8 Char"/>
    <w:basedOn w:val="Fontepargpadro"/>
    <w:link w:val="Ttulo8"/>
    <w:uiPriority w:val="9"/>
    <w:semiHidden/>
    <w:qFormat/>
    <w:rPr>
      <w:rFonts w:eastAsiaTheme="majorEastAsia" w:cstheme="majorBidi"/>
      <w:i/>
      <w:iCs/>
      <w:color w:val="262626" w:themeColor="text1" w:themeTint="D9"/>
    </w:rPr>
  </w:style>
  <w:style w:type="character" w:customStyle="1" w:styleId="Ttulo9Char">
    <w:name w:val="Título 9 Char"/>
    <w:basedOn w:val="Fontepargpadro"/>
    <w:link w:val="Ttulo9"/>
    <w:uiPriority w:val="9"/>
    <w:semiHidden/>
    <w:qFormat/>
    <w:rPr>
      <w:rFonts w:eastAsiaTheme="majorEastAsia" w:cstheme="majorBidi"/>
      <w:color w:val="262626" w:themeColor="text1" w:themeTint="D9"/>
    </w:rPr>
  </w:style>
  <w:style w:type="character" w:customStyle="1" w:styleId="TtuloChar">
    <w:name w:val="Título Char"/>
    <w:basedOn w:val="Fontepargpadro"/>
    <w:link w:val="Ttulo"/>
    <w:uiPriority w:val="10"/>
    <w:qFormat/>
    <w:rPr>
      <w:rFonts w:asciiTheme="majorHAnsi" w:eastAsiaTheme="majorEastAsia" w:hAnsiTheme="majorHAnsi" w:cstheme="majorBidi"/>
      <w:spacing w:val="-10"/>
      <w:kern w:val="28"/>
      <w:sz w:val="56"/>
      <w:szCs w:val="56"/>
    </w:rPr>
  </w:style>
  <w:style w:type="character" w:customStyle="1" w:styleId="SubttuloChar">
    <w:name w:val="Subtítulo Char"/>
    <w:basedOn w:val="Fontepargpadro"/>
    <w:link w:val="Subttulo"/>
    <w:uiPriority w:val="11"/>
    <w:qFormat/>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pPr>
      <w:spacing w:before="160"/>
      <w:jc w:val="center"/>
    </w:pPr>
    <w:rPr>
      <w:i/>
      <w:iCs/>
      <w:color w:val="404040" w:themeColor="text1" w:themeTint="BF"/>
    </w:rPr>
  </w:style>
  <w:style w:type="character" w:customStyle="1" w:styleId="CitaoChar">
    <w:name w:val="Citação Char"/>
    <w:basedOn w:val="Fontepargpadro"/>
    <w:link w:val="Citao"/>
    <w:uiPriority w:val="29"/>
    <w:qFormat/>
    <w:rPr>
      <w:i/>
      <w:iCs/>
      <w:color w:val="404040" w:themeColor="text1" w:themeTint="BF"/>
    </w:rPr>
  </w:style>
  <w:style w:type="paragraph" w:styleId="PargrafodaLista">
    <w:name w:val="List Paragraph"/>
    <w:basedOn w:val="Normal"/>
    <w:uiPriority w:val="34"/>
    <w:qFormat/>
    <w:pPr>
      <w:ind w:left="720"/>
      <w:contextualSpacing/>
    </w:pPr>
  </w:style>
  <w:style w:type="character" w:customStyle="1" w:styleId="nfaseIntensa1">
    <w:name w:val="Ênfase Intensa1"/>
    <w:basedOn w:val="Fontepargpadro"/>
    <w:uiPriority w:val="21"/>
    <w:qFormat/>
    <w:rPr>
      <w:i/>
      <w:iCs/>
      <w:color w:val="2F5496" w:themeColor="accent1" w:themeShade="BF"/>
    </w:rPr>
  </w:style>
  <w:style w:type="paragraph" w:styleId="CitaoIntensa">
    <w:name w:val="Intense Quote"/>
    <w:basedOn w:val="Normal"/>
    <w:next w:val="Normal"/>
    <w:link w:val="CitaoIntensa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qFormat/>
    <w:rPr>
      <w:i/>
      <w:iCs/>
      <w:color w:val="2F5496" w:themeColor="accent1" w:themeShade="BF"/>
    </w:rPr>
  </w:style>
  <w:style w:type="character" w:customStyle="1" w:styleId="RefernciaIntensa1">
    <w:name w:val="Referência Intensa1"/>
    <w:basedOn w:val="Fontepargpadro"/>
    <w:uiPriority w:val="32"/>
    <w:qFormat/>
    <w:rPr>
      <w:b/>
      <w:bCs/>
      <w:smallCaps/>
      <w:color w:val="2F5496" w:themeColor="accent1" w:themeShade="BF"/>
      <w:spacing w:val="5"/>
    </w:rPr>
  </w:style>
  <w:style w:type="character" w:customStyle="1" w:styleId="MenoPendente1">
    <w:name w:val="Menção Pendente1"/>
    <w:basedOn w:val="Fontepargpadro"/>
    <w:uiPriority w:val="99"/>
    <w:semiHidden/>
    <w:unhideWhenUsed/>
    <w:qFormat/>
    <w:rPr>
      <w:color w:val="605E5C"/>
      <w:shd w:val="clear" w:color="auto" w:fill="E1DFDD"/>
    </w:rPr>
  </w:style>
  <w:style w:type="character" w:customStyle="1" w:styleId="CabealhoChar">
    <w:name w:val="Cabeçalho Char"/>
    <w:basedOn w:val="Fontepargpadro"/>
    <w:link w:val="Cabealho"/>
    <w:uiPriority w:val="99"/>
    <w:qFormat/>
  </w:style>
  <w:style w:type="character" w:customStyle="1" w:styleId="RodapChar">
    <w:name w:val="Rodapé Char"/>
    <w:basedOn w:val="Fontepargpadro"/>
    <w:link w:val="Rodap"/>
    <w:uiPriority w:val="99"/>
    <w:qFormat/>
  </w:style>
  <w:style w:type="paragraph" w:customStyle="1" w:styleId="Style42">
    <w:name w:val="_Style 42"/>
    <w:basedOn w:val="Normal"/>
    <w:next w:val="Normal"/>
    <w:qFormat/>
    <w:pPr>
      <w:pBdr>
        <w:bottom w:val="single" w:sz="6" w:space="1" w:color="auto"/>
      </w:pBdr>
      <w:jc w:val="center"/>
    </w:pPr>
    <w:rPr>
      <w:rFonts w:ascii="Arial" w:eastAsia="SimSun"/>
      <w:vanish/>
      <w:sz w:val="16"/>
    </w:rPr>
  </w:style>
  <w:style w:type="paragraph" w:customStyle="1" w:styleId="Style43">
    <w:name w:val="_Style 43"/>
    <w:basedOn w:val="Normal"/>
    <w:next w:val="Normal"/>
    <w:qFormat/>
    <w:pPr>
      <w:pBdr>
        <w:top w:val="single" w:sz="6" w:space="1" w:color="auto"/>
      </w:pBdr>
      <w:jc w:val="center"/>
    </w:pPr>
    <w:rPr>
      <w:rFonts w:ascii="Arial" w:eastAsia="SimSun"/>
      <w:vanish/>
      <w:sz w:val="16"/>
    </w:rPr>
  </w:style>
  <w:style w:type="character" w:customStyle="1" w:styleId="MenoPendente2">
    <w:name w:val="Menção Pendente2"/>
    <w:basedOn w:val="Fontepargpadro"/>
    <w:uiPriority w:val="99"/>
    <w:semiHidden/>
    <w:unhideWhenUsed/>
    <w:qFormat/>
    <w:rPr>
      <w:color w:val="605E5C"/>
      <w:shd w:val="clear" w:color="auto" w:fill="E1DFDD"/>
    </w:rPr>
  </w:style>
  <w:style w:type="character" w:customStyle="1" w:styleId="MenoPendente3">
    <w:name w:val="Menção Pendente3"/>
    <w:basedOn w:val="Fontepargpadro"/>
    <w:uiPriority w:val="99"/>
    <w:semiHidden/>
    <w:unhideWhenUsed/>
    <w:qFormat/>
    <w:rPr>
      <w:color w:val="605E5C"/>
      <w:shd w:val="clear" w:color="auto" w:fill="E1DFDD"/>
    </w:rPr>
  </w:style>
  <w:style w:type="character" w:customStyle="1" w:styleId="MenoPendente4">
    <w:name w:val="Menção Pendente4"/>
    <w:basedOn w:val="Fontepargpadro"/>
    <w:uiPriority w:val="99"/>
    <w:semiHidden/>
    <w:unhideWhenUsed/>
    <w:qFormat/>
    <w:rPr>
      <w:color w:val="605E5C"/>
      <w:shd w:val="clear" w:color="auto" w:fill="E1DFDD"/>
    </w:rPr>
  </w:style>
  <w:style w:type="table" w:customStyle="1" w:styleId="TabeladeGradeClara1">
    <w:name w:val="Tabela de Grade Clara1"/>
    <w:basedOn w:val="Tabela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s-markdown-paragraph">
    <w:name w:val="ds-markdown-paragraph"/>
    <w:basedOn w:val="Normal"/>
    <w:qFormat/>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MenoPendente5">
    <w:name w:val="Menção Pendente5"/>
    <w:basedOn w:val="Fontepargpadro"/>
    <w:uiPriority w:val="99"/>
    <w:semiHidden/>
    <w:unhideWhenUsed/>
    <w:qFormat/>
    <w:rPr>
      <w:color w:val="605E5C"/>
      <w:shd w:val="clear" w:color="auto" w:fill="E1DFDD"/>
    </w:rPr>
  </w:style>
  <w:style w:type="character" w:customStyle="1" w:styleId="15">
    <w:name w:val="15"/>
    <w:basedOn w:val="Fontepargpadro"/>
    <w:qFormat/>
    <w:rPr>
      <w:rFonts w:ascii="Times New Roman" w:hAnsi="Times New Roman" w:cs="Times New Roman" w:hint="default"/>
      <w:b/>
      <w:bCs/>
    </w:rPr>
  </w:style>
  <w:style w:type="character" w:customStyle="1" w:styleId="MenoPendente6">
    <w:name w:val="Menção Pendente6"/>
    <w:basedOn w:val="Fontepargpadro"/>
    <w:uiPriority w:val="99"/>
    <w:semiHidden/>
    <w:unhideWhenUsed/>
    <w:qFormat/>
    <w:rPr>
      <w:color w:val="605E5C"/>
      <w:shd w:val="clear" w:color="auto" w:fill="E1DFDD"/>
    </w:rPr>
  </w:style>
  <w:style w:type="character" w:customStyle="1" w:styleId="MenoPendente7">
    <w:name w:val="Menção Pendente7"/>
    <w:basedOn w:val="Fontepargpadro"/>
    <w:uiPriority w:val="99"/>
    <w:semiHidden/>
    <w:unhideWhenUsed/>
    <w:qFormat/>
    <w:rPr>
      <w:color w:val="605E5C"/>
      <w:shd w:val="clear" w:color="auto" w:fill="E1DFDD"/>
    </w:rPr>
  </w:style>
  <w:style w:type="character" w:customStyle="1" w:styleId="MenoPendente8">
    <w:name w:val="Menção Pendente8"/>
    <w:basedOn w:val="Fontepargpadro"/>
    <w:uiPriority w:val="99"/>
    <w:semiHidden/>
    <w:unhideWhenUsed/>
    <w:qFormat/>
    <w:rPr>
      <w:color w:val="605E5C"/>
      <w:shd w:val="clear" w:color="auto" w:fill="E1DFDD"/>
    </w:rPr>
  </w:style>
  <w:style w:type="character" w:customStyle="1" w:styleId="MenoPendente9">
    <w:name w:val="Menção Pendente9"/>
    <w:basedOn w:val="Fontepargpadro"/>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eader" Target="header2.xml"/><Relationship Id="rId21" Type="http://schemas.openxmlformats.org/officeDocument/2006/relationships/image" Target="media/image13.emf"/><Relationship Id="rId42" Type="http://schemas.openxmlformats.org/officeDocument/2006/relationships/hyperlink" Target="https://archive.org/details/oxfordguidetoety0000durk" TargetMode="External"/><Relationship Id="rId47" Type="http://schemas.openxmlformats.org/officeDocument/2006/relationships/hyperlink" Target="https://www.researchgate.net/publication/283542546" TargetMode="External"/><Relationship Id="rId63" Type="http://schemas.openxmlformats.org/officeDocument/2006/relationships/hyperlink" Target="https://etimologias.dechile.net/?frenesi" TargetMode="External"/><Relationship Id="rId68" Type="http://schemas.openxmlformats.org/officeDocument/2006/relationships/hyperlink" Target="https://www.gutenberg.org/files/52263/52263-h/52263-h.htm" TargetMode="External"/><Relationship Id="rId84" Type="http://schemas.openxmlformats.org/officeDocument/2006/relationships/hyperlink" Target="https://www.webexhibits.org/vangogh/letter/" TargetMode="External"/><Relationship Id="rId89" Type="http://schemas.openxmlformats.org/officeDocument/2006/relationships/hyperlink" Target="https://karger.com/ene/article/76/3-4/175/125173/Sydenham-on-Hysteria" TargetMode="External"/><Relationship Id="rId112" Type="http://schemas.openxmlformats.org/officeDocument/2006/relationships/hyperlink" Target="https://virtualmmx.ddns.net/gbooks/Awakenings.pdf" TargetMode="External"/><Relationship Id="rId16" Type="http://schemas.openxmlformats.org/officeDocument/2006/relationships/image" Target="media/image8.png"/><Relationship Id="rId107" Type="http://schemas.openxmlformats.org/officeDocument/2006/relationships/hyperlink" Target="https://karger.com/pps/article/91/3/156/824788/The-Clinical-Science-of-Euthymia-A-Conceptual-Map" TargetMode="External"/><Relationship Id="rId11" Type="http://schemas.microsoft.com/office/2007/relationships/hdphoto" Target="media/hdphoto1.wdp"/><Relationship Id="rId32" Type="http://schemas.openxmlformats.org/officeDocument/2006/relationships/image" Target="media/image24.png"/><Relationship Id="rId37" Type="http://schemas.openxmlformats.org/officeDocument/2006/relationships/hyperlink" Target="http://educa.fcc.org.br/scielo.php?script=sci_arttext&amp;pid=S2178-52012019000100127&amp;lng=pt&amp;nrm=iso" TargetMode="External"/><Relationship Id="rId53" Type="http://schemas.openxmlformats.org/officeDocument/2006/relationships/hyperlink" Target="http://dx.doi.org/10.11606/issn.2176-9419.v15ispep27-67" TargetMode="External"/><Relationship Id="rId58" Type="http://schemas.openxmlformats.org/officeDocument/2006/relationships/hyperlink" Target="https://doi.org/10.1080/00029157.2021.189241.%20" TargetMode="External"/><Relationship Id="rId74" Type="http://schemas.openxmlformats.org/officeDocument/2006/relationships/hyperlink" Target="https://journals.sagepub.com/doi/pdf/10.1177/0957154X11408725" TargetMode="External"/><Relationship Id="rId79" Type="http://schemas.openxmlformats.org/officeDocument/2006/relationships/hyperlink" Target="https://www.academia.edu/121940119/St_Teresa_of_Avila_Her_Writings_and_Life" TargetMode="External"/><Relationship Id="rId102" Type="http://schemas.openxmlformats.org/officeDocument/2006/relationships/hyperlink" Target="https://www.etymonline.com/" TargetMode="External"/><Relationship Id="rId123" Type="http://schemas.openxmlformats.org/officeDocument/2006/relationships/hyperlink" Target="http://lattes.cnpq.br/1938883394582984" TargetMode="External"/><Relationship Id="rId5" Type="http://schemas.openxmlformats.org/officeDocument/2006/relationships/webSettings" Target="webSettings.xml"/><Relationship Id="rId90" Type="http://schemas.openxmlformats.org/officeDocument/2006/relationships/hyperlink" Target="https://journals.sagepub.com/doi/pdf/10.1177/1751143717709420" TargetMode="External"/><Relationship Id="rId95" Type="http://schemas.openxmlformats.org/officeDocument/2006/relationships/hyperlink" Target="https://www.etymonline.com/search?q=neurasthenia" TargetMode="External"/><Relationship Id="rId22" Type="http://schemas.openxmlformats.org/officeDocument/2006/relationships/image" Target="media/image14.png"/><Relationship Id="rId27" Type="http://schemas.openxmlformats.org/officeDocument/2006/relationships/image" Target="media/image19.jpeg"/><Relationship Id="rId43" Type="http://schemas.openxmlformats.org/officeDocument/2006/relationships/hyperlink" Target="http://www.ijmse.com/uploads/1/4/0/3/14032141/ijmse2020_7_1_._8-11.pdf" TargetMode="External"/><Relationship Id="rId48" Type="http://schemas.openxmlformats.org/officeDocument/2006/relationships/hyperlink" Target="https://kops.uni-konstanz.de/bitstream/handle/123456789/10734/Pulvermueller_1999_Words_in_the.pdf" TargetMode="External"/><Relationship Id="rId64" Type="http://schemas.openxmlformats.org/officeDocument/2006/relationships/hyperlink" Target="https://www.jstor.org/stable/pdf/26302577.pdf" TargetMode="External"/><Relationship Id="rId69" Type="http://schemas.openxmlformats.org/officeDocument/2006/relationships/hyperlink" Target="https://dle.rae.es/" TargetMode="External"/><Relationship Id="rId113" Type="http://schemas.openxmlformats.org/officeDocument/2006/relationships/hyperlink" Target="https://www.cureus.com/articles/238929-medicine-through-the-lens-of-humanity-exploring-the-legacy-of-oliver-sacks-the-storyteller-neurologist" TargetMode="External"/><Relationship Id="rId118" Type="http://schemas.openxmlformats.org/officeDocument/2006/relationships/footer" Target="footer1.xml"/><Relationship Id="rId80" Type="http://schemas.openxmlformats.org/officeDocument/2006/relationships/hyperlink" Target="https://etimologias.dechile.net/?delirio" TargetMode="External"/><Relationship Id="rId85" Type="http://schemas.openxmlformats.org/officeDocument/2006/relationships/hyperlink" Target="https://archive.org/details/leonsdumardi02char" TargetMode="External"/><Relationship Id="rId12" Type="http://schemas.openxmlformats.org/officeDocument/2006/relationships/image" Target="media/image4.png"/><Relationship Id="rId17" Type="http://schemas.openxmlformats.org/officeDocument/2006/relationships/image" Target="media/image9.emf"/><Relationship Id="rId33" Type="http://schemas.openxmlformats.org/officeDocument/2006/relationships/image" Target="media/image25.jpeg"/><Relationship Id="rId38" Type="http://schemas.openxmlformats.org/officeDocument/2006/relationships/hyperlink" Target="https://pdfs.semanticscholar.org/69d8/280764c91ce1d4c793a57fd505c22d2eccde.pdf" TargetMode="External"/><Relationship Id="rId59" Type="http://schemas.openxmlformats.org/officeDocument/2006/relationships/hyperlink" Target="https://etimologias.dechile.net/?hipnosis" TargetMode="External"/><Relationship Id="rId103" Type="http://schemas.openxmlformats.org/officeDocument/2006/relationships/hyperlink" Target="https://www.etymonline.com/word/anxiety" TargetMode="External"/><Relationship Id="rId108" Type="http://schemas.openxmlformats.org/officeDocument/2006/relationships/hyperlink" Target="https://www.bjp.org.br/details/297/en-US/is-it-time-for-psychiatry-to-discuss-consensus-criteria-for-euthymia--clinical--methodological--research--and-ethical-perspectives" TargetMode="External"/><Relationship Id="rId124" Type="http://schemas.openxmlformats.org/officeDocument/2006/relationships/image" Target="media/image29.jpeg"/><Relationship Id="rId54" Type="http://schemas.openxmlformats.org/officeDocument/2006/relationships/hyperlink" Target="https://journals.sagepub.com/doi/epdf/10.1177/014107680409700412" TargetMode="External"/><Relationship Id="rId70" Type="http://schemas.openxmlformats.org/officeDocument/2006/relationships/hyperlink" Target="https://www.gutenberg.org/ebooks/10800" TargetMode="External"/><Relationship Id="rId75" Type="http://schemas.openxmlformats.org/officeDocument/2006/relationships/hyperlink" Target="https://etimologias.dechile.net/?e.xtasis" TargetMode="External"/><Relationship Id="rId91" Type="http://schemas.openxmlformats.org/officeDocument/2006/relationships/hyperlink" Target="https://dictionary.apa.org/neurasthenia" TargetMode="External"/><Relationship Id="rId96" Type="http://schemas.openxmlformats.org/officeDocument/2006/relationships/hyperlink" Target="https://www.jstor.org/stable/pdf/44449492.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jpeg"/><Relationship Id="rId28" Type="http://schemas.openxmlformats.org/officeDocument/2006/relationships/image" Target="media/image20.png"/><Relationship Id="rId49" Type="http://schemas.openxmlformats.org/officeDocument/2006/relationships/hyperlink" Target="https://dle.rae.es/" TargetMode="External"/><Relationship Id="rId114" Type="http://schemas.openxmlformats.org/officeDocument/2006/relationships/hyperlink" Target="https://books.google.com.br/books?id=k37WlXxV1X0C" TargetMode="External"/><Relationship Id="rId119" Type="http://schemas.openxmlformats.org/officeDocument/2006/relationships/footer" Target="footer2.xml"/><Relationship Id="rId44" Type="http://schemas.openxmlformats.org/officeDocument/2006/relationships/hyperlink" Target="https://www.etymonline.com/" TargetMode="External"/><Relationship Id="rId60" Type="http://schemas.openxmlformats.org/officeDocument/2006/relationships/hyperlink" Target="https://dle.rae.es/" TargetMode="External"/><Relationship Id="rId65" Type="http://schemas.openxmlformats.org/officeDocument/2006/relationships/hyperlink" Target="https://www.etymonline.com/" TargetMode="External"/><Relationship Id="rId81" Type="http://schemas.openxmlformats.org/officeDocument/2006/relationships/hyperlink" Target="https://www.frontiersin.org/journals/aging-neuroscience/articles/10.3389/fnagi.2024.1446523/full" TargetMode="External"/><Relationship Id="rId86" Type="http://schemas.openxmlformats.org/officeDocument/2006/relationships/hyperlink" Target="https://www.dicionarioetimologico.com.br/"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doi.org/10.21860/J.10.1.7" TargetMode="External"/><Relationship Id="rId109" Type="http://schemas.openxmlformats.org/officeDocument/2006/relationships/hyperlink" Target="https://www.britannica.com/biography/Oliver-Sacks." TargetMode="External"/><Relationship Id="rId34" Type="http://schemas.openxmlformats.org/officeDocument/2006/relationships/image" Target="media/image26.png"/><Relationship Id="rId50" Type="http://schemas.openxmlformats.org/officeDocument/2006/relationships/hyperlink" Target="https://www.researchgate.net/publication/231951027_Philip_Durkin_The_Oxford_guide_to_etymology_Oxford_Oxford_University_Press_2009_Pp_x_350_Hardback_2500" TargetMode="External"/><Relationship Id="rId55" Type="http://schemas.openxmlformats.org/officeDocument/2006/relationships/hyperlink" Target="https://archive.org/download/braidonhypnotism00brai/braidonhypnotism00brai.pdf" TargetMode="External"/><Relationship Id="rId76" Type="http://schemas.openxmlformats.org/officeDocument/2006/relationships/hyperlink" Target="https://www.etymonline.com/word/ecstasy" TargetMode="External"/><Relationship Id="rId97" Type="http://schemas.openxmlformats.org/officeDocument/2006/relationships/hyperlink" Target="https://archives.yale.edu/repositories/12/resources/3104" TargetMode="External"/><Relationship Id="rId104" Type="http://schemas.openxmlformats.org/officeDocument/2006/relationships/hyperlink" Target="https://www.thecollector.com/anxiety-soren-kierkegaard/" TargetMode="External"/><Relationship Id="rId120" Type="http://schemas.openxmlformats.org/officeDocument/2006/relationships/header" Target="header3.xml"/><Relationship Id="rId125" Type="http://schemas.openxmlformats.org/officeDocument/2006/relationships/image" Target="media/image30.jpeg"/><Relationship Id="rId7" Type="http://schemas.openxmlformats.org/officeDocument/2006/relationships/endnotes" Target="endnotes.xml"/><Relationship Id="rId71" Type="http://schemas.openxmlformats.org/officeDocument/2006/relationships/hyperlink" Target="https://www.britannica.com/biography/Robert-Burton" TargetMode="External"/><Relationship Id="rId92" Type="http://schemas.openxmlformats.org/officeDocument/2006/relationships/hyperlink" Target="https://archive.org/details/americannervousn00bearuoft" TargetMode="External"/><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hyperlink" Target="https://www.cnrtl.fr/etymologie" TargetMode="External"/><Relationship Id="rId45" Type="http://schemas.openxmlformats.org/officeDocument/2006/relationships/hyperlink" Target="https://www.perseus.tufts.edu/hopper/text?doc=Perseus%3Atext%3A1999.04.0059" TargetMode="External"/><Relationship Id="rId66" Type="http://schemas.openxmlformats.org/officeDocument/2006/relationships/hyperlink" Target="https://www.perseus.tufts.edu/hopper/text?doc=Perseus:text:1999.04.0059" TargetMode="External"/><Relationship Id="rId87" Type="http://schemas.openxmlformats.org/officeDocument/2006/relationships/hyperlink" Target="https://etimologias.dechile.net/?histeria" TargetMode="External"/><Relationship Id="rId110" Type="http://schemas.openxmlformats.org/officeDocument/2006/relationships/hyperlink" Target="https://doi.org/10.18359/rlbi.7331" TargetMode="External"/><Relationship Id="rId115" Type="http://schemas.openxmlformats.org/officeDocument/2006/relationships/hyperlink" Target="https://www.google.com.br/books/edition/The_Falling_Sickness/w33hgy52XKkC" TargetMode="External"/><Relationship Id="rId61" Type="http://schemas.openxmlformats.org/officeDocument/2006/relationships/hyperlink" Target="https://archive.org/details/b29825672" TargetMode="External"/><Relationship Id="rId82" Type="http://schemas.openxmlformats.org/officeDocument/2006/relationships/hyperlink" Target="https://www.etymonline.com/" TargetMode="External"/><Relationship Id="rId19" Type="http://schemas.openxmlformats.org/officeDocument/2006/relationships/image" Target="media/image11.emf"/><Relationship Id="rId14" Type="http://schemas.openxmlformats.org/officeDocument/2006/relationships/image" Target="media/image6.jpeg"/><Relationship Id="rId30" Type="http://schemas.openxmlformats.org/officeDocument/2006/relationships/image" Target="media/image22.png"/><Relationship Id="rId35" Type="http://schemas.microsoft.com/office/2007/relationships/hdphoto" Target="media/hdphoto2.wdp"/><Relationship Id="rId56" Type="http://schemas.openxmlformats.org/officeDocument/2006/relationships/hyperlink" Target="https://go.gale.com/ps/i.do?id=GALE%7CA663245346" TargetMode="External"/><Relationship Id="rId77" Type="http://schemas.openxmlformats.org/officeDocument/2006/relationships/hyperlink" Target="https://onlinelibrary.wiley.com/doi/pdf/10.1111/j.1467-9744.2005.00679.x" TargetMode="External"/><Relationship Id="rId100" Type="http://schemas.openxmlformats.org/officeDocument/2006/relationships/hyperlink" Target="https://pubmed.ncbi.nlm.nih.gov/26487812/" TargetMode="External"/><Relationship Id="rId105" Type="http://schemas.openxmlformats.org/officeDocument/2006/relationships/hyperlink" Target="https://onlinelibrary.wiley.com/doi/full/10.1002/wps.20698" TargetMode="External"/><Relationship Id="rId12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yperlink" Target="https://gavinadair.files.wordpress.com/2017/04/sacks-the-case-of-the-colorblind-painter.pdf" TargetMode="External"/><Relationship Id="rId72" Type="http://schemas.openxmlformats.org/officeDocument/2006/relationships/hyperlink" Target="https://www.etymonline.com/word/melancholy" TargetMode="External"/><Relationship Id="rId93" Type="http://schemas.openxmlformats.org/officeDocument/2006/relationships/hyperlink" Target="https://etimologias.dechile.net/?neurastenia" TargetMode="External"/><Relationship Id="rId98" Type="http://schemas.openxmlformats.org/officeDocument/2006/relationships/hyperlink" Target="https://doi.org/10.1590/S0104-59702010000600010" TargetMode="External"/><Relationship Id="rId121" Type="http://schemas.openxmlformats.org/officeDocument/2006/relationships/footer" Target="footer3.xml"/><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hyperlink" Target="https://academic.oup.com/brain/article/143/1/374/5679563" TargetMode="External"/><Relationship Id="rId67" Type="http://schemas.openxmlformats.org/officeDocument/2006/relationships/hyperlink" Target="https://www.britannica.com/biography/Friedrich-Nietzsche" TargetMode="External"/><Relationship Id="rId116"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hyperlink" Target="https://www.dicionarioetimologico.com.br/" TargetMode="External"/><Relationship Id="rId62" Type="http://schemas.openxmlformats.org/officeDocument/2006/relationships/hyperlink" Target="https://www.etymonline.com/word/coma" TargetMode="External"/><Relationship Id="rId83" Type="http://schemas.openxmlformats.org/officeDocument/2006/relationships/hyperlink" Target="https://journalbipolardisorders.springeropen.com/articles/10.1186/s40345-020-00196-z" TargetMode="External"/><Relationship Id="rId88" Type="http://schemas.openxmlformats.org/officeDocument/2006/relationships/hyperlink" Target="https://www.etymonline.com/" TargetMode="External"/><Relationship Id="rId111" Type="http://schemas.openxmlformats.org/officeDocument/2006/relationships/hyperlink" Target="https://doi.org/10.1017/S0025727300056398" TargetMode="External"/><Relationship Id="rId15" Type="http://schemas.openxmlformats.org/officeDocument/2006/relationships/image" Target="media/image7.emf"/><Relationship Id="rId36" Type="http://schemas.openxmlformats.org/officeDocument/2006/relationships/image" Target="media/image27.png"/><Relationship Id="rId57" Type="http://schemas.openxmlformats.org/officeDocument/2006/relationships/hyperlink" Target="https://www.dicionarioetimologico.com.br/" TargetMode="External"/><Relationship Id="rId106" Type="http://schemas.openxmlformats.org/officeDocument/2006/relationships/hyperlink" Target="https://www.karger.com/Article/Abstract/441244" TargetMode="External"/><Relationship Id="rId12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hyperlink" Target="https://www.cureus.com/articles/287853-medicine-through-the-lens-of-humanity-exploring-the-legacy-of-oliver-sacks-the-storyteller-neurologist" TargetMode="External"/><Relationship Id="rId73" Type="http://schemas.openxmlformats.org/officeDocument/2006/relationships/hyperlink" Target="https://dle.rae.es/" TargetMode="External"/><Relationship Id="rId78" Type="http://schemas.openxmlformats.org/officeDocument/2006/relationships/hyperlink" Target="https://www.gutenberg.org/files/8120/8120-h/8120-h.htm" TargetMode="External"/><Relationship Id="rId94" Type="http://schemas.openxmlformats.org/officeDocument/2006/relationships/hyperlink" Target="https://www.etymonline.com/" TargetMode="External"/><Relationship Id="rId99" Type="http://schemas.openxmlformats.org/officeDocument/2006/relationships/hyperlink" Target="https://www.who.int/news/item/28-05-2019-burn-out-an-occupational-phenomenon-international-classification-of-diseases" TargetMode="External"/><Relationship Id="rId101" Type="http://schemas.openxmlformats.org/officeDocument/2006/relationships/hyperlink" Target="https://psycnet.apa.org/record/2013-26225-018" TargetMode="External"/><Relationship Id="rId122"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85</Pages>
  <Words>29148</Words>
  <Characters>174018</Characters>
  <Application>Microsoft Office Word</Application>
  <DocSecurity>0</DocSecurity>
  <Lines>3480</Lines>
  <Paragraphs>1110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Marleide da Mota Gomes</dc:creator>
  <cp:lastModifiedBy>Marleide da Mota Gomes</cp:lastModifiedBy>
  <cp:revision>10</cp:revision>
  <cp:lastPrinted>2025-09-19T22:25:00Z</cp:lastPrinted>
  <dcterms:created xsi:type="dcterms:W3CDTF">2025-10-05T21:50:00Z</dcterms:created>
  <dcterms:modified xsi:type="dcterms:W3CDTF">2025-10-06T13:02:00Z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ec7df2b3-6491-44f2-bcb3-7e8e4db39e7f</vt:lpwstr>
  </property>
  <property fmtid="{D5CDD505-2E9C-101B-9397-08002B2CF9AE}" pid="3" name="KSOProductBuildVer">
    <vt:lpwstr>1046-12.2.0.22549</vt:lpwstr>
  </property>
  <property fmtid="{D5CDD505-2E9C-101B-9397-08002B2CF9AE}" pid="4" name="ICV">
    <vt:lpwstr>80F25B33C7244B50AD5EF1DAAAF91B97_13</vt:lpwstr>
  </property>
</Properties>
</file>